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9D" w:rsidRDefault="00652351" w:rsidP="00237241">
      <w:pPr>
        <w:pStyle w:val="BodyText"/>
        <w:spacing w:after="60"/>
        <w:jc w:val="center"/>
      </w:pPr>
      <w:r>
        <w:rPr>
          <w:noProof/>
        </w:rPr>
        <w:drawing>
          <wp:inline distT="0" distB="0" distL="0" distR="0">
            <wp:extent cx="1228725" cy="866775"/>
            <wp:effectExtent l="19050" t="0" r="9525" b="0"/>
            <wp:docPr id="1" name="Picture 1" descr="NR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9D" w:rsidRPr="00237241" w:rsidRDefault="000F739D" w:rsidP="00237241">
      <w:pPr>
        <w:pStyle w:val="BodyText"/>
        <w:jc w:val="center"/>
        <w:rPr>
          <w:b/>
          <w:sz w:val="18"/>
          <w:szCs w:val="18"/>
        </w:rPr>
      </w:pPr>
      <w:r w:rsidRPr="00237241">
        <w:rPr>
          <w:b/>
          <w:sz w:val="18"/>
          <w:szCs w:val="18"/>
        </w:rPr>
        <w:t>A Project of the U.S. Department of Education</w:t>
      </w:r>
    </w:p>
    <w:p w:rsidR="00D17D9A" w:rsidRPr="004E3258" w:rsidRDefault="00320E4C" w:rsidP="00B75F2C">
      <w:pPr>
        <w:pStyle w:val="Heading1"/>
      </w:pPr>
      <w:bookmarkStart w:id="0" w:name="OLE_LINK1"/>
      <w:bookmarkStart w:id="1" w:name="OLE_LINK2"/>
      <w:r w:rsidRPr="004E3258">
        <w:t xml:space="preserve">New </w:t>
      </w:r>
      <w:r w:rsidRPr="00B75F2C">
        <w:t>Standards</w:t>
      </w:r>
      <w:r w:rsidRPr="004E3258">
        <w:t xml:space="preserve"> for </w:t>
      </w:r>
      <w:r w:rsidR="00233E24" w:rsidRPr="004E3258">
        <w:t xml:space="preserve">Collecting and </w:t>
      </w:r>
      <w:r w:rsidRPr="004E3258">
        <w:t>Reporting</w:t>
      </w:r>
      <w:r w:rsidR="00FF1840" w:rsidRPr="004E3258">
        <w:t xml:space="preserve"> Race </w:t>
      </w:r>
      <w:r w:rsidR="001059BD" w:rsidRPr="004E3258">
        <w:t xml:space="preserve">and </w:t>
      </w:r>
      <w:r w:rsidR="00FF1840" w:rsidRPr="004E3258">
        <w:t>Ethnicity Data for the</w:t>
      </w:r>
      <w:r w:rsidR="005E312D">
        <w:t> </w:t>
      </w:r>
      <w:r w:rsidR="00FF1840" w:rsidRPr="004E3258">
        <w:t>NRS</w:t>
      </w:r>
      <w:bookmarkEnd w:id="0"/>
      <w:bookmarkEnd w:id="1"/>
      <w:r w:rsidR="00567460">
        <w:t xml:space="preserve"> (Draft</w:t>
      </w:r>
      <w:r w:rsidR="00237241">
        <w:t>—Not for Distribution</w:t>
      </w:r>
      <w:r w:rsidR="00567460">
        <w:t>)</w:t>
      </w:r>
    </w:p>
    <w:p w:rsidR="00320E4C" w:rsidRDefault="00CE6D91" w:rsidP="00B75F2C">
      <w:pPr>
        <w:pStyle w:val="BodyText"/>
      </w:pPr>
      <w:r>
        <w:t>T</w:t>
      </w:r>
      <w:r w:rsidR="00FF1840">
        <w:t xml:space="preserve">he U.S. Office of Management and Budget (OMB) </w:t>
      </w:r>
      <w:r w:rsidR="00D30BD4">
        <w:t>issued revised standards for collecting and reporting race and ethnicity data</w:t>
      </w:r>
      <w:r w:rsidR="00FF1840">
        <w:t>.</w:t>
      </w:r>
      <w:r w:rsidR="00793C4D">
        <w:t xml:space="preserve"> </w:t>
      </w:r>
      <w:r w:rsidR="00FF1840">
        <w:t xml:space="preserve">The revisions involve </w:t>
      </w:r>
      <w:r w:rsidR="001059BD">
        <w:t>new categories that separate race and ethnicity and include two categories for data on ethnicity</w:t>
      </w:r>
      <w:r w:rsidR="00FF1840">
        <w:t>.</w:t>
      </w:r>
      <w:r w:rsidR="00793C4D">
        <w:t xml:space="preserve"> </w:t>
      </w:r>
      <w:r w:rsidR="00FF1840">
        <w:t xml:space="preserve">In response, </w:t>
      </w:r>
      <w:r w:rsidR="0049740B">
        <w:t xml:space="preserve">the U.S. Department of </w:t>
      </w:r>
      <w:r w:rsidR="0049740B" w:rsidRPr="00B75F2C">
        <w:t>Education</w:t>
      </w:r>
      <w:r w:rsidR="0049740B">
        <w:t xml:space="preserve"> (</w:t>
      </w:r>
      <w:r w:rsidR="00FF1840">
        <w:t>ED</w:t>
      </w:r>
      <w:r w:rsidR="0049740B">
        <w:t>)</w:t>
      </w:r>
      <w:r w:rsidR="00FF1840">
        <w:t xml:space="preserve"> released </w:t>
      </w:r>
      <w:r w:rsidR="001059BD">
        <w:t>guidance</w:t>
      </w:r>
      <w:r w:rsidR="009B6CDC">
        <w:t xml:space="preserve"> on </w:t>
      </w:r>
      <w:r w:rsidR="009B6CDC" w:rsidRPr="003F53FF">
        <w:t>how educational institutions and other ED-funded programs should collect and report data on race and ethnicity</w:t>
      </w:r>
      <w:r w:rsidR="00D0040A" w:rsidRPr="003F53FF">
        <w:t xml:space="preserve"> beginning July 1, 2010</w:t>
      </w:r>
      <w:r w:rsidR="00FF1840" w:rsidRPr="003F53FF">
        <w:t>.</w:t>
      </w:r>
      <w:r w:rsidR="00793C4D">
        <w:t xml:space="preserve"> </w:t>
      </w:r>
      <w:r w:rsidR="00320E4C" w:rsidRPr="003F53FF">
        <w:t xml:space="preserve">This </w:t>
      </w:r>
      <w:r w:rsidR="000507E9" w:rsidRPr="003F53FF">
        <w:rPr>
          <w:i/>
        </w:rPr>
        <w:t>NRS</w:t>
      </w:r>
      <w:r w:rsidR="0082128E">
        <w:rPr>
          <w:i/>
        </w:rPr>
        <w:t> </w:t>
      </w:r>
      <w:r w:rsidR="000507E9" w:rsidRPr="003F53FF">
        <w:rPr>
          <w:i/>
        </w:rPr>
        <w:t>Tips</w:t>
      </w:r>
      <w:r w:rsidR="000507E9" w:rsidRPr="003F53FF">
        <w:t xml:space="preserve"> </w:t>
      </w:r>
      <w:r w:rsidR="00320E4C" w:rsidRPr="003F53FF">
        <w:t xml:space="preserve">describes </w:t>
      </w:r>
      <w:r w:rsidR="0049740B" w:rsidRPr="003F53FF">
        <w:t>changes to</w:t>
      </w:r>
      <w:r w:rsidR="0049740B">
        <w:t xml:space="preserve"> the way federally</w:t>
      </w:r>
      <w:r w:rsidR="0086595A">
        <w:t xml:space="preserve"> </w:t>
      </w:r>
      <w:r w:rsidR="0049740B">
        <w:t xml:space="preserve">funded adult education programs will </w:t>
      </w:r>
      <w:r w:rsidR="001B71FF">
        <w:t>collect</w:t>
      </w:r>
      <w:r w:rsidR="001B71FF" w:rsidRPr="009B6CDC">
        <w:t xml:space="preserve"> </w:t>
      </w:r>
      <w:r w:rsidR="001B71FF">
        <w:t xml:space="preserve">and </w:t>
      </w:r>
      <w:r w:rsidR="0049740B">
        <w:t xml:space="preserve">report </w:t>
      </w:r>
      <w:r w:rsidR="009B6CDC" w:rsidRPr="009B6CDC">
        <w:t xml:space="preserve">race and ethnicity </w:t>
      </w:r>
      <w:r w:rsidR="0049740B">
        <w:t xml:space="preserve">data </w:t>
      </w:r>
      <w:r w:rsidR="00886378">
        <w:t xml:space="preserve">based on </w:t>
      </w:r>
      <w:r w:rsidR="0049740B">
        <w:t xml:space="preserve">ED’s guidance on the new standards </w:t>
      </w:r>
      <w:r w:rsidR="002741C8">
        <w:t>and their implications</w:t>
      </w:r>
      <w:r w:rsidR="00320E4C" w:rsidRPr="009B6CDC">
        <w:t>.</w:t>
      </w:r>
    </w:p>
    <w:p w:rsidR="0054677F" w:rsidRPr="00237241" w:rsidRDefault="0054677F" w:rsidP="00237241">
      <w:pPr>
        <w:pStyle w:val="Heading2"/>
      </w:pPr>
      <w:r w:rsidRPr="00237241">
        <w:t>Collecting Race and Ethnicity Data</w:t>
      </w:r>
    </w:p>
    <w:p w:rsidR="0054677F" w:rsidRDefault="0054677F" w:rsidP="00710B92">
      <w:pPr>
        <w:pStyle w:val="BodyText"/>
      </w:pPr>
      <w:r>
        <w:t xml:space="preserve">To ensure consistency across Federal </w:t>
      </w:r>
      <w:r w:rsidR="0086595A">
        <w:t>A</w:t>
      </w:r>
      <w:r>
        <w:t xml:space="preserve">gencies and assist ED in carrying out its mission to collect, analyze, and report data that </w:t>
      </w:r>
      <w:r w:rsidR="0086595A">
        <w:t xml:space="preserve">are </w:t>
      </w:r>
      <w:r>
        <w:t xml:space="preserve">relevant and useful to practitioners, researchers, policymakers, and the public, the way in which race and ethnicity data is collected will change in two ways: </w:t>
      </w:r>
    </w:p>
    <w:p w:rsidR="0054677F" w:rsidRDefault="0054677F" w:rsidP="00BB40F3">
      <w:pPr>
        <w:pStyle w:val="NumberList"/>
      </w:pPr>
      <w:r>
        <w:t xml:space="preserve">Educational institutions </w:t>
      </w:r>
      <w:r w:rsidR="003E6458">
        <w:t xml:space="preserve">and other recipients </w:t>
      </w:r>
      <w:r>
        <w:t>will have to ask a two-part question to collect race and ethnicity data</w:t>
      </w:r>
      <w:r w:rsidR="0059415A">
        <w:t xml:space="preserve"> from students</w:t>
      </w:r>
      <w:r w:rsidR="0086595A">
        <w:t>.</w:t>
      </w:r>
      <w:r>
        <w:t xml:space="preserve"> </w:t>
      </w:r>
    </w:p>
    <w:p w:rsidR="0054677F" w:rsidRDefault="00AA6A2A" w:rsidP="00BB40F3">
      <w:pPr>
        <w:pStyle w:val="NumberList"/>
      </w:pPr>
      <w:r>
        <w:t xml:space="preserve">Students </w:t>
      </w:r>
      <w:r w:rsidR="0054677F">
        <w:t>will have the opportunity to select more than one race with which they identify.</w:t>
      </w:r>
      <w:r w:rsidR="00793C4D">
        <w:t xml:space="preserve"> </w:t>
      </w:r>
      <w:r w:rsidR="0054677F">
        <w:t xml:space="preserve">The first part of the two-part question will ask </w:t>
      </w:r>
      <w:r w:rsidR="00065986">
        <w:t>students to specify their</w:t>
      </w:r>
      <w:r>
        <w:t xml:space="preserve"> </w:t>
      </w:r>
      <w:r w:rsidR="0054677F">
        <w:t>ethnicity.</w:t>
      </w:r>
      <w:r w:rsidR="00793C4D">
        <w:t xml:space="preserve"> </w:t>
      </w:r>
      <w:r w:rsidR="0054677F">
        <w:t xml:space="preserve">And the second part will then ask </w:t>
      </w:r>
      <w:r>
        <w:t xml:space="preserve">students </w:t>
      </w:r>
      <w:r w:rsidR="0054677F">
        <w:t xml:space="preserve">to select one or more races with which </w:t>
      </w:r>
      <w:r w:rsidR="000C250D">
        <w:t>he or she</w:t>
      </w:r>
      <w:r w:rsidR="0054677F">
        <w:t xml:space="preserve"> identifies. Exhibit </w:t>
      </w:r>
      <w:r w:rsidR="000C250D">
        <w:t>1</w:t>
      </w:r>
      <w:r w:rsidR="0054677F">
        <w:t xml:space="preserve"> provides an example of such a question.</w:t>
      </w:r>
    </w:p>
    <w:p w:rsidR="004E3258" w:rsidRPr="004252B7" w:rsidRDefault="0054677F" w:rsidP="004252B7">
      <w:pPr>
        <w:pStyle w:val="ExhibitTitle"/>
      </w:pPr>
      <w:r w:rsidRPr="004252B7">
        <w:t xml:space="preserve">Exhibit </w:t>
      </w:r>
      <w:r w:rsidR="000C250D" w:rsidRPr="004252B7">
        <w:t>1</w:t>
      </w:r>
      <w:r w:rsidRPr="004252B7">
        <w:t>: Example of a Two-</w:t>
      </w:r>
      <w:r w:rsidR="0086595A" w:rsidRPr="004252B7">
        <w:t>P</w:t>
      </w:r>
      <w:r w:rsidRPr="004252B7">
        <w:t>art Question That Can</w:t>
      </w:r>
      <w:r w:rsidR="00B75F2C" w:rsidRPr="004252B7">
        <w:br/>
      </w:r>
      <w:r w:rsidRPr="004252B7">
        <w:t xml:space="preserve">Be Used </w:t>
      </w:r>
      <w:r w:rsidR="0086595A" w:rsidRPr="004252B7">
        <w:t>T</w:t>
      </w:r>
      <w:r w:rsidRPr="004252B7">
        <w:t>o Collect Race and Ethnicity Data Using ED’s New Standards</w:t>
      </w:r>
    </w:p>
    <w:p w:rsidR="004E3258" w:rsidRPr="00E71302" w:rsidRDefault="004E3258" w:rsidP="00E71302">
      <w:pPr>
        <w:pStyle w:val="ExhibitText"/>
        <w:pBdr>
          <w:top w:val="single" w:sz="4" w:space="6" w:color="auto"/>
        </w:pBdr>
      </w:pPr>
      <w:r w:rsidRPr="00E71302">
        <w:t>Is this student/Are you Hispanic/Latino? (</w:t>
      </w:r>
      <w:proofErr w:type="gramStart"/>
      <w:r w:rsidRPr="00E71302">
        <w:t>choose</w:t>
      </w:r>
      <w:proofErr w:type="gramEnd"/>
      <w:r w:rsidRPr="00E71302">
        <w:t xml:space="preserve"> only one)</w:t>
      </w:r>
    </w:p>
    <w:p w:rsidR="004E3258" w:rsidRPr="00710B92" w:rsidRDefault="004E3258" w:rsidP="00E71302">
      <w:pPr>
        <w:pStyle w:val="ExhibitBullet"/>
      </w:pPr>
      <w:r w:rsidRPr="00710B92">
        <w:t>No, not Hispanic/Latino</w:t>
      </w:r>
    </w:p>
    <w:p w:rsidR="004E3258" w:rsidRPr="00710B92" w:rsidRDefault="004E3258" w:rsidP="00E71302">
      <w:pPr>
        <w:pStyle w:val="ExhibitBullet"/>
      </w:pPr>
      <w:r w:rsidRPr="00710B92">
        <w:t>Yes, Hispanic/Latino (A person of Cuban, Mexican, Puerto Rican, South or Central American, or other Spanish culture or origin, regardless of race)</w:t>
      </w:r>
    </w:p>
    <w:p w:rsidR="004E3258" w:rsidRPr="00654FF0" w:rsidRDefault="004E3258" w:rsidP="00E71302">
      <w:pPr>
        <w:pStyle w:val="ExhibitText"/>
      </w:pPr>
      <w:r w:rsidRPr="00654FF0">
        <w:t>The above question is about ethnicity, not race.</w:t>
      </w:r>
      <w:r>
        <w:t xml:space="preserve"> </w:t>
      </w:r>
      <w:r w:rsidRPr="003A44A0">
        <w:rPr>
          <w:b/>
          <w:i/>
        </w:rPr>
        <w:t>No matter what you selected above</w:t>
      </w:r>
      <w:r w:rsidRPr="0086595A">
        <w:rPr>
          <w:b/>
          <w:i/>
        </w:rPr>
        <w:t>,</w:t>
      </w:r>
      <w:r w:rsidRPr="00654FF0">
        <w:t xml:space="preserve"> please continue to answer the following by marking one or more boxes to indicate what you consider this student’s/your race to be.</w:t>
      </w:r>
    </w:p>
    <w:p w:rsidR="004E3258" w:rsidRPr="00654FF0" w:rsidRDefault="004E3258" w:rsidP="00E71302">
      <w:pPr>
        <w:pStyle w:val="ExhibitText"/>
      </w:pPr>
      <w:r w:rsidRPr="00654FF0">
        <w:t>What is this student’s/your race? (</w:t>
      </w:r>
      <w:proofErr w:type="gramStart"/>
      <w:r w:rsidRPr="00654FF0">
        <w:t>choose</w:t>
      </w:r>
      <w:proofErr w:type="gramEnd"/>
      <w:r w:rsidRPr="00654FF0">
        <w:t xml:space="preserve"> one or more)</w:t>
      </w:r>
    </w:p>
    <w:p w:rsidR="004E3258" w:rsidRPr="00E71302" w:rsidRDefault="004E3258" w:rsidP="00E71302">
      <w:pPr>
        <w:pStyle w:val="ExhibitBullet"/>
      </w:pPr>
      <w:r w:rsidRPr="00E71302">
        <w:rPr>
          <w:b/>
        </w:rPr>
        <w:t xml:space="preserve">American Indian or Alaska Native. </w:t>
      </w:r>
      <w:r w:rsidRPr="00E71302">
        <w:t>(A person having origins in any of the original peoples of North and South America, including Central America, and who maintains a tribal affiliation or community attachment.)</w:t>
      </w:r>
    </w:p>
    <w:p w:rsidR="004E3258" w:rsidRPr="00654FF0" w:rsidRDefault="004E3258" w:rsidP="00E71302">
      <w:pPr>
        <w:pStyle w:val="ExhibitBullet"/>
      </w:pPr>
      <w:r w:rsidRPr="00654FF0">
        <w:rPr>
          <w:b/>
        </w:rPr>
        <w:t>Asian.</w:t>
      </w:r>
      <w:r w:rsidRPr="00654FF0">
        <w:t xml:space="preserve"> (A person having origins in any of the peoples of the Far East, Southeast Asia, or the Indian Subcontinent</w:t>
      </w:r>
      <w:r>
        <w:t>,</w:t>
      </w:r>
      <w:r w:rsidRPr="00654FF0">
        <w:t xml:space="preserve"> including, for example, Cambodia, China, India, Japan, Korea, Malaysia, Pakistan, the Philippine Islands, Thailand, and Vietnam.)</w:t>
      </w:r>
    </w:p>
    <w:p w:rsidR="004E3258" w:rsidRPr="00654FF0" w:rsidRDefault="004E3258" w:rsidP="00E71302">
      <w:pPr>
        <w:pStyle w:val="ExhibitBullet"/>
      </w:pPr>
      <w:r w:rsidRPr="00654FF0">
        <w:rPr>
          <w:b/>
        </w:rPr>
        <w:lastRenderedPageBreak/>
        <w:t xml:space="preserve">Black or African American. </w:t>
      </w:r>
      <w:r w:rsidRPr="00654FF0">
        <w:t xml:space="preserve">(A person having origins in any of the </w:t>
      </w:r>
      <w:r>
        <w:t>B</w:t>
      </w:r>
      <w:r w:rsidRPr="00654FF0">
        <w:t>lack racial groups of Africa.)</w:t>
      </w:r>
    </w:p>
    <w:p w:rsidR="004E3258" w:rsidRPr="00654FF0" w:rsidRDefault="004E3258" w:rsidP="00E71302">
      <w:pPr>
        <w:pStyle w:val="ExhibitBullet"/>
      </w:pPr>
      <w:r w:rsidRPr="00654FF0">
        <w:rPr>
          <w:b/>
        </w:rPr>
        <w:t xml:space="preserve">Native Hawaiian or Other Pacific Islander. </w:t>
      </w:r>
      <w:r w:rsidRPr="00654FF0">
        <w:t>(A person having origins in any of the original peoples of Hawaii, Guam, Samoa, or other Pacific Islands.)</w:t>
      </w:r>
    </w:p>
    <w:p w:rsidR="004E3258" w:rsidRPr="00654FF0" w:rsidRDefault="004E3258" w:rsidP="00E71302">
      <w:pPr>
        <w:pStyle w:val="ExhibitBullet"/>
        <w:pBdr>
          <w:bottom w:val="single" w:sz="4" w:space="6" w:color="auto"/>
        </w:pBdr>
      </w:pPr>
      <w:r w:rsidRPr="00654FF0">
        <w:rPr>
          <w:b/>
        </w:rPr>
        <w:t>White.</w:t>
      </w:r>
      <w:r w:rsidRPr="00654FF0">
        <w:t xml:space="preserve"> (A person having origins in any of the original peoples of Europe, the Middle East, or North Africa.)</w:t>
      </w:r>
    </w:p>
    <w:p w:rsidR="0054677F" w:rsidRDefault="0054677F" w:rsidP="00E71302">
      <w:pPr>
        <w:spacing w:before="240"/>
      </w:pPr>
      <w:r>
        <w:t>ED does not require reporting of the races in the Hispanic/Latino population</w:t>
      </w:r>
      <w:r w:rsidR="00DB039D">
        <w:t>,</w:t>
      </w:r>
      <w:r>
        <w:t xml:space="preserve"> but the two-part question format is still required.</w:t>
      </w:r>
      <w:r w:rsidR="00793C4D">
        <w:t xml:space="preserve"> </w:t>
      </w:r>
      <w:r>
        <w:t xml:space="preserve">ED requires </w:t>
      </w:r>
      <w:r w:rsidR="00AA6A2A">
        <w:t xml:space="preserve">programs </w:t>
      </w:r>
      <w:r>
        <w:t>to keep the original individual responses to the two-part question to allow access to this information when needed.</w:t>
      </w:r>
    </w:p>
    <w:p w:rsidR="00C92CFF" w:rsidRDefault="00C92CFF" w:rsidP="00237241">
      <w:pPr>
        <w:pStyle w:val="Heading2"/>
      </w:pPr>
      <w:r>
        <w:t>Reporting Race and Ethnicity Data</w:t>
      </w:r>
    </w:p>
    <w:p w:rsidR="004304BE" w:rsidRDefault="001030AE" w:rsidP="00710B92">
      <w:pPr>
        <w:pStyle w:val="BodyText"/>
      </w:pPr>
      <w:r>
        <w:t>T</w:t>
      </w:r>
      <w:r w:rsidR="005B7FA7">
        <w:t>he new standards</w:t>
      </w:r>
      <w:r>
        <w:t xml:space="preserve"> </w:t>
      </w:r>
      <w:r w:rsidR="00C92CFF">
        <w:t xml:space="preserve">for reporting race and ethnicity data involve two </w:t>
      </w:r>
      <w:r w:rsidR="0036353F">
        <w:t xml:space="preserve">sets of </w:t>
      </w:r>
      <w:r w:rsidR="00C92CFF">
        <w:t xml:space="preserve">changes: </w:t>
      </w:r>
    </w:p>
    <w:p w:rsidR="004304BE" w:rsidRDefault="004304BE" w:rsidP="00BB40F3">
      <w:pPr>
        <w:pStyle w:val="NumberList"/>
        <w:numPr>
          <w:ilvl w:val="0"/>
          <w:numId w:val="29"/>
        </w:numPr>
      </w:pPr>
      <w:r>
        <w:t xml:space="preserve">Separate </w:t>
      </w:r>
      <w:r w:rsidR="0036353F">
        <w:t>reporting of Hispanic/Latino ethnicity and race</w:t>
      </w:r>
      <w:r w:rsidR="004E403E">
        <w:t>.</w:t>
      </w:r>
      <w:r w:rsidR="006544A4">
        <w:t xml:space="preserve"> </w:t>
      </w:r>
    </w:p>
    <w:p w:rsidR="00C92CFF" w:rsidRDefault="004304BE" w:rsidP="00237241">
      <w:pPr>
        <w:pStyle w:val="NumberList"/>
      </w:pPr>
      <w:r>
        <w:t xml:space="preserve">Revisions </w:t>
      </w:r>
      <w:r w:rsidR="00C92CFF">
        <w:t xml:space="preserve">to </w:t>
      </w:r>
      <w:r w:rsidR="0062316C">
        <w:t xml:space="preserve">the </w:t>
      </w:r>
      <w:r w:rsidR="00C92CFF">
        <w:t>current definitions</w:t>
      </w:r>
      <w:r w:rsidR="0062316C">
        <w:t xml:space="preserve"> of racial and ethnic categories</w:t>
      </w:r>
      <w:r w:rsidR="00220B07">
        <w:t>, including a new “two or more races” reporting category</w:t>
      </w:r>
      <w:r w:rsidR="007957DC">
        <w:t>.</w:t>
      </w:r>
      <w:r w:rsidR="00C92CFF">
        <w:t xml:space="preserve"> </w:t>
      </w:r>
    </w:p>
    <w:p w:rsidR="00154DC8" w:rsidRPr="00237241" w:rsidRDefault="007957DC" w:rsidP="00237241">
      <w:pPr>
        <w:pStyle w:val="Heading3"/>
      </w:pPr>
      <w:r w:rsidRPr="00237241">
        <w:t>Separating race and ethnicity</w:t>
      </w:r>
    </w:p>
    <w:p w:rsidR="00C92CFF" w:rsidRDefault="007957DC" w:rsidP="002916B6">
      <w:pPr>
        <w:pStyle w:val="BodyText"/>
      </w:pPr>
      <w:r>
        <w:t>The new requirements create a clear separation of race and Hispanic/Latino ethnic</w:t>
      </w:r>
      <w:r w:rsidR="009F5026">
        <w:t>ity</w:t>
      </w:r>
      <w:r>
        <w:t>. Students mu</w:t>
      </w:r>
      <w:r w:rsidR="0036353F">
        <w:t>st first self-identify as Hispanic</w:t>
      </w:r>
      <w:r w:rsidR="009F5026">
        <w:t>/</w:t>
      </w:r>
      <w:r w:rsidR="0036353F">
        <w:t>Latino</w:t>
      </w:r>
      <w:r w:rsidR="00523442">
        <w:t xml:space="preserve"> or not Hispanic/Latino</w:t>
      </w:r>
      <w:r w:rsidR="0036353F">
        <w:t>, regardless of their racial background</w:t>
      </w:r>
      <w:r w:rsidR="00523442">
        <w:t>.</w:t>
      </w:r>
      <w:r w:rsidR="00793C4D">
        <w:t xml:space="preserve"> </w:t>
      </w:r>
      <w:r w:rsidR="00523442">
        <w:t xml:space="preserve">Students selecting Hispanic/Latino </w:t>
      </w:r>
      <w:r w:rsidR="0036353F" w:rsidRPr="00762586">
        <w:t>will only</w:t>
      </w:r>
      <w:r w:rsidR="0036353F">
        <w:t xml:space="preserve"> be reported </w:t>
      </w:r>
      <w:r w:rsidR="00523442">
        <w:t xml:space="preserve">to ED </w:t>
      </w:r>
      <w:r w:rsidR="0036353F">
        <w:t>as “Hispanic/Latino of any race.”</w:t>
      </w:r>
      <w:r w:rsidR="00793C4D">
        <w:t xml:space="preserve"> </w:t>
      </w:r>
      <w:r>
        <w:t xml:space="preserve">Only students who do not self-identify as Hispanic/Latino ethnicity will be </w:t>
      </w:r>
      <w:r w:rsidR="00523442">
        <w:t xml:space="preserve">in </w:t>
      </w:r>
      <w:r>
        <w:t>other racial categories</w:t>
      </w:r>
      <w:r w:rsidR="00523442">
        <w:t xml:space="preserve"> for </w:t>
      </w:r>
      <w:r w:rsidR="004E403E">
        <w:t>F</w:t>
      </w:r>
      <w:r w:rsidR="00523442">
        <w:t>ederal reporting</w:t>
      </w:r>
      <w:r>
        <w:t>.</w:t>
      </w:r>
      <w:r w:rsidR="00523442">
        <w:t xml:space="preserve"> A student can be counted </w:t>
      </w:r>
      <w:r w:rsidR="00523442" w:rsidRPr="00762586">
        <w:t xml:space="preserve">in only one </w:t>
      </w:r>
      <w:r w:rsidR="00523442">
        <w:t>category.</w:t>
      </w:r>
      <w:r>
        <w:t xml:space="preserve"> </w:t>
      </w:r>
    </w:p>
    <w:p w:rsidR="00154DC8" w:rsidRPr="002916B6" w:rsidRDefault="007957DC" w:rsidP="002916B6">
      <w:pPr>
        <w:pStyle w:val="Heading4"/>
      </w:pPr>
      <w:r w:rsidRPr="002916B6">
        <w:t>A new reporting category and r</w:t>
      </w:r>
      <w:r w:rsidR="008A0712" w:rsidRPr="002916B6">
        <w:t>evised</w:t>
      </w:r>
      <w:r w:rsidR="0062316C" w:rsidRPr="002916B6">
        <w:t xml:space="preserve"> </w:t>
      </w:r>
      <w:r w:rsidR="008931D8" w:rsidRPr="002916B6">
        <w:t>definitions for</w:t>
      </w:r>
      <w:r w:rsidRPr="002916B6">
        <w:t xml:space="preserve"> race and ethnicity</w:t>
      </w:r>
    </w:p>
    <w:p w:rsidR="00523442" w:rsidRDefault="00523442" w:rsidP="002916B6">
      <w:pPr>
        <w:pStyle w:val="BodyText"/>
      </w:pPr>
      <w:r>
        <w:t xml:space="preserve">ED will be using a </w:t>
      </w:r>
      <w:r w:rsidR="00AA6A2A">
        <w:t xml:space="preserve">new </w:t>
      </w:r>
      <w:r>
        <w:t>category for reporting race and ethnicity data: “</w:t>
      </w:r>
      <w:r w:rsidR="000C250D">
        <w:t>t</w:t>
      </w:r>
      <w:r>
        <w:t>wo or more races”</w:t>
      </w:r>
      <w:r w:rsidRPr="00523442">
        <w:t xml:space="preserve"> </w:t>
      </w:r>
      <w:r>
        <w:t xml:space="preserve">for </w:t>
      </w:r>
      <w:r w:rsidR="00AA6A2A">
        <w:t xml:space="preserve">students </w:t>
      </w:r>
      <w:r>
        <w:t>self-identifying as belonging to multiple races.</w:t>
      </w:r>
      <w:r w:rsidR="00793C4D">
        <w:t xml:space="preserve"> </w:t>
      </w:r>
    </w:p>
    <w:p w:rsidR="00523442" w:rsidRPr="00FA669A" w:rsidRDefault="00523442" w:rsidP="002916B6">
      <w:pPr>
        <w:pStyle w:val="BodyText"/>
      </w:pPr>
      <w:r w:rsidRPr="00FA669A">
        <w:t xml:space="preserve">The following four examples </w:t>
      </w:r>
      <w:r>
        <w:t xml:space="preserve">from ED’s guidance </w:t>
      </w:r>
      <w:r w:rsidRPr="00FA669A">
        <w:t xml:space="preserve">demonstrate how </w:t>
      </w:r>
      <w:r>
        <w:t>programs will report using the new standards in light of the additional category</w:t>
      </w:r>
      <w:r w:rsidRPr="00FA669A">
        <w:t>:</w:t>
      </w:r>
    </w:p>
    <w:p w:rsidR="00523442" w:rsidRPr="005741CA" w:rsidRDefault="00523442" w:rsidP="00237241">
      <w:pPr>
        <w:pStyle w:val="BulletList"/>
        <w:spacing w:after="120"/>
      </w:pPr>
      <w:r w:rsidRPr="00FA669A">
        <w:rPr>
          <w:b/>
        </w:rPr>
        <w:t>Example 1:</w:t>
      </w:r>
      <w:r w:rsidRPr="00FA669A">
        <w:t xml:space="preserve"> A </w:t>
      </w:r>
      <w:r w:rsidR="00AA6A2A">
        <w:t xml:space="preserve">student </w:t>
      </w:r>
      <w:r w:rsidRPr="00FA669A">
        <w:t xml:space="preserve">self-identifies as Hispanic/Latino and as Asian. This </w:t>
      </w:r>
      <w:r w:rsidR="00AA6A2A">
        <w:t xml:space="preserve">student </w:t>
      </w:r>
      <w:r w:rsidRPr="00FA669A">
        <w:t>is</w:t>
      </w:r>
      <w:r w:rsidRPr="005741CA">
        <w:t xml:space="preserve"> reported only in </w:t>
      </w:r>
      <w:r w:rsidRPr="00237241">
        <w:t xml:space="preserve">the </w:t>
      </w:r>
      <w:r w:rsidRPr="005741CA">
        <w:t>Hispanic/Latino category.</w:t>
      </w:r>
    </w:p>
    <w:p w:rsidR="00523442" w:rsidRPr="005741CA" w:rsidRDefault="00523442" w:rsidP="00237241">
      <w:pPr>
        <w:pStyle w:val="BulletList"/>
        <w:spacing w:after="120"/>
      </w:pPr>
      <w:r w:rsidRPr="00FA669A">
        <w:rPr>
          <w:b/>
        </w:rPr>
        <w:t>Example 2:</w:t>
      </w:r>
      <w:r w:rsidRPr="005741CA">
        <w:t xml:space="preserve"> A </w:t>
      </w:r>
      <w:r w:rsidR="00AA6A2A">
        <w:t xml:space="preserve">student </w:t>
      </w:r>
      <w:r w:rsidRPr="005741CA">
        <w:t xml:space="preserve">self-identifies as Hispanic/Latino and as Asian and Black or African American. This </w:t>
      </w:r>
      <w:r w:rsidR="00AA6A2A">
        <w:t xml:space="preserve">student </w:t>
      </w:r>
      <w:r w:rsidRPr="005741CA">
        <w:t>is reported only in the Hispanic/Latino category.</w:t>
      </w:r>
    </w:p>
    <w:p w:rsidR="00523442" w:rsidRPr="005741CA" w:rsidRDefault="00523442" w:rsidP="00237241">
      <w:pPr>
        <w:pStyle w:val="BulletList"/>
        <w:spacing w:after="120"/>
      </w:pPr>
      <w:r w:rsidRPr="00FA669A">
        <w:rPr>
          <w:b/>
        </w:rPr>
        <w:t>Example 3:</w:t>
      </w:r>
      <w:r w:rsidRPr="005741CA">
        <w:t xml:space="preserve"> A </w:t>
      </w:r>
      <w:r w:rsidR="00AA6A2A">
        <w:t xml:space="preserve">student </w:t>
      </w:r>
      <w:r w:rsidRPr="005741CA">
        <w:t xml:space="preserve">self-identifies as non-Hispanic/Latino and as Native Hawaiian or Other Pacific Islander. This </w:t>
      </w:r>
      <w:r w:rsidR="00AA6A2A">
        <w:t xml:space="preserve">student </w:t>
      </w:r>
      <w:r w:rsidRPr="005741CA">
        <w:t>is reported in the Native Hawaiian or Other Pacific Islander category.</w:t>
      </w:r>
    </w:p>
    <w:p w:rsidR="00523442" w:rsidRDefault="00523442" w:rsidP="00E71302">
      <w:pPr>
        <w:pStyle w:val="BulletList"/>
        <w:spacing w:after="120"/>
      </w:pPr>
      <w:r w:rsidRPr="00FA669A">
        <w:rPr>
          <w:b/>
        </w:rPr>
        <w:t>Example 4:</w:t>
      </w:r>
      <w:r w:rsidRPr="005741CA">
        <w:t xml:space="preserve"> A </w:t>
      </w:r>
      <w:r w:rsidR="00AA6A2A">
        <w:t xml:space="preserve">student </w:t>
      </w:r>
      <w:r w:rsidRPr="005741CA">
        <w:t xml:space="preserve">self-identifies as non-Hispanic/Latino and as American Indian or Alaska Native and White. This </w:t>
      </w:r>
      <w:r w:rsidR="00AA6A2A">
        <w:t xml:space="preserve">student </w:t>
      </w:r>
      <w:r w:rsidRPr="005741CA">
        <w:t>is reported in the two or more races category.</w:t>
      </w:r>
    </w:p>
    <w:p w:rsidR="005B7FA7" w:rsidRDefault="00523442" w:rsidP="002916B6">
      <w:pPr>
        <w:pStyle w:val="BodyText"/>
      </w:pPr>
      <w:r>
        <w:t>D</w:t>
      </w:r>
      <w:r w:rsidR="0062316C">
        <w:t xml:space="preserve">efinitions for a number of </w:t>
      </w:r>
      <w:r w:rsidR="00983D6E">
        <w:t xml:space="preserve">reporting </w:t>
      </w:r>
      <w:r w:rsidR="0062316C">
        <w:t xml:space="preserve">categories </w:t>
      </w:r>
      <w:r w:rsidR="000C250D">
        <w:t xml:space="preserve">also </w:t>
      </w:r>
      <w:r w:rsidR="0062316C">
        <w:t>have been revised</w:t>
      </w:r>
      <w:r w:rsidR="000C250D">
        <w:t>;</w:t>
      </w:r>
      <w:r w:rsidR="0062316C">
        <w:t xml:space="preserve"> </w:t>
      </w:r>
      <w:r>
        <w:t>n</w:t>
      </w:r>
      <w:r w:rsidR="0062316C">
        <w:t xml:space="preserve">otably, categories of race no longer </w:t>
      </w:r>
      <w:r w:rsidR="005D0D10">
        <w:t xml:space="preserve">make reference to the </w:t>
      </w:r>
      <w:proofErr w:type="spellStart"/>
      <w:r w:rsidR="005D0D10">
        <w:t>h</w:t>
      </w:r>
      <w:r w:rsidR="0062316C">
        <w:t>ispanicity</w:t>
      </w:r>
      <w:proofErr w:type="spellEnd"/>
      <w:r w:rsidR="0062316C">
        <w:t xml:space="preserve"> of a </w:t>
      </w:r>
      <w:r w:rsidR="00AA6A2A">
        <w:t>student</w:t>
      </w:r>
      <w:r w:rsidR="0062316C">
        <w:t>.</w:t>
      </w:r>
      <w:r w:rsidR="00793C4D">
        <w:t xml:space="preserve"> </w:t>
      </w:r>
      <w:r w:rsidR="005D0D10">
        <w:t>A</w:t>
      </w:r>
      <w:r w:rsidR="002B18F6">
        <w:t xml:space="preserve">dditional regions or countries of origin </w:t>
      </w:r>
      <w:r w:rsidR="000C250D">
        <w:t xml:space="preserve">also </w:t>
      </w:r>
      <w:r w:rsidR="002B18F6">
        <w:t>were added</w:t>
      </w:r>
      <w:r w:rsidR="000C250D">
        <w:t>,</w:t>
      </w:r>
      <w:r w:rsidR="00B33DBF">
        <w:t xml:space="preserve"> </w:t>
      </w:r>
      <w:r>
        <w:t>a</w:t>
      </w:r>
      <w:r w:rsidR="005D0D10">
        <w:t xml:space="preserve">nd a </w:t>
      </w:r>
      <w:r w:rsidR="00AA6A2A">
        <w:t xml:space="preserve">student </w:t>
      </w:r>
      <w:r w:rsidR="005D0D10">
        <w:t>having origins in the Philippines will no longer be reported in the “Native Hawaiian and Pacific Islander” category.</w:t>
      </w:r>
      <w:r w:rsidR="00793C4D">
        <w:t xml:space="preserve"> </w:t>
      </w:r>
      <w:r w:rsidR="005D0D10">
        <w:t xml:space="preserve">Instead, he or she </w:t>
      </w:r>
      <w:r w:rsidR="00B61373">
        <w:t xml:space="preserve">should </w:t>
      </w:r>
      <w:r w:rsidR="005D0D10">
        <w:t>be reported as “Asian.”</w:t>
      </w:r>
      <w:r w:rsidR="00793C4D">
        <w:t xml:space="preserve"> </w:t>
      </w:r>
      <w:r w:rsidR="00983D6E">
        <w:t xml:space="preserve">Exhibit </w:t>
      </w:r>
      <w:r w:rsidR="000C250D">
        <w:t>2</w:t>
      </w:r>
      <w:r w:rsidR="00983D6E">
        <w:t xml:space="preserve"> </w:t>
      </w:r>
      <w:r>
        <w:t>shows</w:t>
      </w:r>
      <w:r w:rsidR="00983D6E">
        <w:t xml:space="preserve"> a </w:t>
      </w:r>
      <w:r w:rsidR="007F6126">
        <w:t xml:space="preserve">comparison of </w:t>
      </w:r>
      <w:r w:rsidR="00983D6E">
        <w:t xml:space="preserve">the existing </w:t>
      </w:r>
      <w:r w:rsidR="007F6126">
        <w:t xml:space="preserve">and new </w:t>
      </w:r>
      <w:r w:rsidR="00C92CFF">
        <w:t xml:space="preserve">reporting categories </w:t>
      </w:r>
      <w:r w:rsidR="007F6126">
        <w:t>and their definitions</w:t>
      </w:r>
      <w:r>
        <w:t>, with</w:t>
      </w:r>
      <w:r w:rsidR="00B33DBF">
        <w:t xml:space="preserve"> </w:t>
      </w:r>
      <w:r>
        <w:t>d</w:t>
      </w:r>
      <w:r w:rsidR="00C92CFF">
        <w:t xml:space="preserve">ifferences </w:t>
      </w:r>
      <w:r w:rsidR="0062316C">
        <w:t>underlined</w:t>
      </w:r>
      <w:r w:rsidR="00C92CFF">
        <w:t xml:space="preserve"> to facilitate your review.</w:t>
      </w:r>
    </w:p>
    <w:p w:rsidR="00D0040A" w:rsidRPr="00D0040A" w:rsidRDefault="00957001" w:rsidP="004252B7">
      <w:pPr>
        <w:pStyle w:val="ExhibitTitle"/>
      </w:pPr>
      <w:r>
        <w:lastRenderedPageBreak/>
        <w:t xml:space="preserve">Exhibit </w:t>
      </w:r>
      <w:r w:rsidR="000C250D">
        <w:t>2</w:t>
      </w:r>
      <w:r w:rsidR="00D0040A" w:rsidRPr="00D0040A">
        <w:t xml:space="preserve">: Comparison of Definitions </w:t>
      </w:r>
      <w:r w:rsidR="006544A4">
        <w:t>for</w:t>
      </w:r>
      <w:r w:rsidR="00D0040A" w:rsidRPr="00D0040A">
        <w:t xml:space="preserve"> Race and Ethnicity Reporting Categories</w:t>
      </w:r>
    </w:p>
    <w:tbl>
      <w:tblPr>
        <w:tblW w:w="9600" w:type="dxa"/>
        <w:tblInd w:w="-1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4087"/>
        <w:gridCol w:w="5513"/>
      </w:tblGrid>
      <w:tr w:rsidR="00D0040A" w:rsidRPr="00E71302" w:rsidTr="00E71302">
        <w:trPr>
          <w:cantSplit/>
          <w:trHeight w:val="323"/>
          <w:tblHeader/>
        </w:trPr>
        <w:tc>
          <w:tcPr>
            <w:tcW w:w="4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29" w:type="dxa"/>
              <w:left w:w="115" w:type="dxa"/>
              <w:bottom w:w="14" w:type="dxa"/>
              <w:right w:w="115" w:type="dxa"/>
            </w:tcMar>
            <w:vAlign w:val="bottom"/>
          </w:tcPr>
          <w:p w:rsidR="00D0040A" w:rsidRPr="00E71302" w:rsidRDefault="006544A4" w:rsidP="00E71302">
            <w:pPr>
              <w:pStyle w:val="TableColumnHead"/>
            </w:pPr>
            <w:r w:rsidRPr="00E71302">
              <w:t xml:space="preserve">Definitions of Existing </w:t>
            </w:r>
            <w:r w:rsidR="00D0040A" w:rsidRPr="00E71302">
              <w:t>Reporting Categori</w:t>
            </w:r>
            <w:r w:rsidRPr="00E71302">
              <w:t>es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E0E0E0"/>
            <w:tcMar>
              <w:top w:w="29" w:type="dxa"/>
              <w:left w:w="115" w:type="dxa"/>
              <w:bottom w:w="14" w:type="dxa"/>
              <w:right w:w="115" w:type="dxa"/>
            </w:tcMar>
            <w:vAlign w:val="bottom"/>
          </w:tcPr>
          <w:p w:rsidR="00D0040A" w:rsidRPr="00E71302" w:rsidRDefault="006544A4" w:rsidP="00E71302">
            <w:pPr>
              <w:pStyle w:val="TableColumnHead"/>
            </w:pPr>
            <w:r w:rsidRPr="00E71302">
              <w:t xml:space="preserve">Definitions of </w:t>
            </w:r>
            <w:r w:rsidR="00D0040A" w:rsidRPr="00E71302">
              <w:t xml:space="preserve">Reporting Categories </w:t>
            </w:r>
            <w:r w:rsidRPr="00E71302">
              <w:t>Using ED’s New Standards</w:t>
            </w:r>
            <w:r w:rsidR="0059415A" w:rsidRPr="00E71302">
              <w:t xml:space="preserve"> (To Be Implemented Beginning July 1, 2010)</w:t>
            </w:r>
          </w:p>
        </w:tc>
      </w:tr>
      <w:tr w:rsidR="00C27B5F" w:rsidRPr="00654FF0" w:rsidTr="00E71302">
        <w:trPr>
          <w:cantSplit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:rsidR="00C27B5F" w:rsidRPr="00E71302" w:rsidRDefault="00C27B5F" w:rsidP="00E71302">
            <w:pPr>
              <w:pStyle w:val="TableText"/>
            </w:pPr>
            <w:r w:rsidRPr="00E71302">
              <w:rPr>
                <w:b/>
              </w:rPr>
              <w:t>American Indian or Alaskan Native</w:t>
            </w:r>
            <w:r w:rsidRPr="00E71302">
              <w:t>—A person who has origins in any of the original peoples of North America and who maintains cultural identification through tribal affiliation or community recognition.</w:t>
            </w:r>
          </w:p>
        </w:tc>
        <w:tc>
          <w:tcPr>
            <w:tcW w:w="5513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:rsidR="00C27B5F" w:rsidRPr="00E71302" w:rsidRDefault="00C27B5F" w:rsidP="00E71302">
            <w:pPr>
              <w:pStyle w:val="TableText"/>
            </w:pPr>
            <w:r w:rsidRPr="00E71302">
              <w:rPr>
                <w:b/>
              </w:rPr>
              <w:t>American Indian or Alaska Native</w:t>
            </w:r>
            <w:r w:rsidRPr="00E71302">
              <w:t xml:space="preserve">—A person having origins in any of the original peoples of North and </w:t>
            </w:r>
            <w:r w:rsidRPr="00E71302">
              <w:rPr>
                <w:u w:val="single"/>
              </w:rPr>
              <w:t>South</w:t>
            </w:r>
            <w:r w:rsidRPr="00E71302">
              <w:t xml:space="preserve"> America </w:t>
            </w:r>
            <w:r w:rsidRPr="00E71302">
              <w:rPr>
                <w:u w:val="single"/>
              </w:rPr>
              <w:t>(including Central America)</w:t>
            </w:r>
            <w:r w:rsidRPr="00E71302">
              <w:rPr>
                <w:b/>
              </w:rPr>
              <w:t>,</w:t>
            </w:r>
            <w:r w:rsidRPr="00E71302">
              <w:t xml:space="preserve"> and who maintains a tribal affiliation or community </w:t>
            </w:r>
            <w:r w:rsidRPr="00E71302">
              <w:rPr>
                <w:u w:val="single"/>
              </w:rPr>
              <w:t>attachment</w:t>
            </w:r>
            <w:r w:rsidRPr="00E71302">
              <w:rPr>
                <w:b/>
              </w:rPr>
              <w:t>.</w:t>
            </w:r>
          </w:p>
        </w:tc>
      </w:tr>
      <w:tr w:rsidR="00C27B5F" w:rsidRPr="00654FF0" w:rsidTr="00E71302">
        <w:trPr>
          <w:cantSplit/>
        </w:trPr>
        <w:tc>
          <w:tcPr>
            <w:tcW w:w="4087" w:type="dxa"/>
            <w:tcBorders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:rsidR="00C27B5F" w:rsidRPr="00E71302" w:rsidRDefault="00C27B5F" w:rsidP="00E71302">
            <w:pPr>
              <w:pStyle w:val="TableText"/>
            </w:pPr>
            <w:r w:rsidRPr="00E71302">
              <w:rPr>
                <w:b/>
              </w:rPr>
              <w:t>Asian</w:t>
            </w:r>
            <w:r w:rsidRPr="00E71302">
              <w:t>—A person who has origins in any of the original peoples of the Far East, Southeast Asia, or the Indian subcontinent (e.g., China, India, Japan, and Korea).</w:t>
            </w:r>
          </w:p>
        </w:tc>
        <w:tc>
          <w:tcPr>
            <w:tcW w:w="5513" w:type="dxa"/>
            <w:tcMar>
              <w:top w:w="29" w:type="dxa"/>
              <w:left w:w="115" w:type="dxa"/>
              <w:bottom w:w="14" w:type="dxa"/>
              <w:right w:w="115" w:type="dxa"/>
            </w:tcMar>
          </w:tcPr>
          <w:p w:rsidR="00C27B5F" w:rsidRPr="00E71302" w:rsidRDefault="00C27B5F" w:rsidP="00E71302">
            <w:pPr>
              <w:pStyle w:val="TableText"/>
            </w:pPr>
            <w:r w:rsidRPr="00E71302">
              <w:rPr>
                <w:b/>
              </w:rPr>
              <w:t>Asian</w:t>
            </w:r>
            <w:r w:rsidRPr="00E71302">
              <w:t>—A person having origins in any of the original peoples of the Far East, Southeast Asia, or the Indian subcontinent</w:t>
            </w:r>
            <w:r w:rsidR="00385AF1" w:rsidRPr="00E71302">
              <w:t>,</w:t>
            </w:r>
            <w:r w:rsidRPr="00E71302">
              <w:t xml:space="preserve"> including, for example, </w:t>
            </w:r>
            <w:r w:rsidRPr="00E71302">
              <w:rPr>
                <w:u w:val="single"/>
              </w:rPr>
              <w:t>Cambodia</w:t>
            </w:r>
            <w:r w:rsidRPr="00E71302">
              <w:rPr>
                <w:b/>
              </w:rPr>
              <w:t>,</w:t>
            </w:r>
            <w:r w:rsidRPr="00E71302">
              <w:t xml:space="preserve"> China, India, Japan, Korea, </w:t>
            </w:r>
            <w:r w:rsidRPr="00E71302">
              <w:rPr>
                <w:u w:val="single"/>
              </w:rPr>
              <w:t>Malaysia, Pakistan, the Philippine Islands, Thailand, and Vietnam</w:t>
            </w:r>
            <w:r w:rsidRPr="00E71302">
              <w:t>.</w:t>
            </w:r>
          </w:p>
        </w:tc>
      </w:tr>
      <w:tr w:rsidR="00C27B5F" w:rsidRPr="00654FF0" w:rsidTr="00E71302">
        <w:trPr>
          <w:cantSplit/>
        </w:trPr>
        <w:tc>
          <w:tcPr>
            <w:tcW w:w="4087" w:type="dxa"/>
            <w:tcBorders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:rsidR="00C27B5F" w:rsidRPr="00E71302" w:rsidRDefault="00C27B5F" w:rsidP="00E71302">
            <w:pPr>
              <w:pStyle w:val="TableText"/>
            </w:pPr>
            <w:r w:rsidRPr="00E71302">
              <w:rPr>
                <w:b/>
              </w:rPr>
              <w:t>Native Hawaiian or Other Pacific Islander</w:t>
            </w:r>
            <w:r w:rsidRPr="00E71302">
              <w:t xml:space="preserve">—A person who has origins as a native of the Hawaiian Islands or the other islands of the Pacific, such as the </w:t>
            </w:r>
            <w:r w:rsidRPr="00E71302">
              <w:rPr>
                <w:u w:val="single"/>
              </w:rPr>
              <w:t>Philippine Islands</w:t>
            </w:r>
            <w:r w:rsidRPr="00E71302">
              <w:t xml:space="preserve"> and Samoa.</w:t>
            </w:r>
          </w:p>
        </w:tc>
        <w:tc>
          <w:tcPr>
            <w:tcW w:w="5513" w:type="dxa"/>
            <w:tcMar>
              <w:top w:w="29" w:type="dxa"/>
              <w:left w:w="115" w:type="dxa"/>
              <w:bottom w:w="14" w:type="dxa"/>
              <w:right w:w="115" w:type="dxa"/>
            </w:tcMar>
          </w:tcPr>
          <w:p w:rsidR="00C27B5F" w:rsidRPr="00E71302" w:rsidRDefault="00C27B5F" w:rsidP="00E71302">
            <w:pPr>
              <w:pStyle w:val="TableText"/>
            </w:pPr>
            <w:r w:rsidRPr="00E71302">
              <w:rPr>
                <w:b/>
              </w:rPr>
              <w:t>Native Hawaiian or Other Pacific Islander</w:t>
            </w:r>
            <w:r w:rsidRPr="00E71302">
              <w:t xml:space="preserve">—A person having origins in any of the </w:t>
            </w:r>
            <w:r w:rsidRPr="00E71302">
              <w:rPr>
                <w:u w:val="single"/>
              </w:rPr>
              <w:t>original peoples of</w:t>
            </w:r>
            <w:r w:rsidRPr="00E71302">
              <w:t xml:space="preserve"> Hawaii, </w:t>
            </w:r>
            <w:r w:rsidRPr="00E71302">
              <w:rPr>
                <w:u w:val="single"/>
              </w:rPr>
              <w:t>Guam,</w:t>
            </w:r>
            <w:r w:rsidRPr="00E71302">
              <w:rPr>
                <w:b/>
              </w:rPr>
              <w:t xml:space="preserve"> </w:t>
            </w:r>
            <w:r w:rsidRPr="00E71302">
              <w:t>Samoa, or other Pacific Islands.</w:t>
            </w:r>
          </w:p>
        </w:tc>
      </w:tr>
      <w:tr w:rsidR="00C27B5F" w:rsidRPr="00654FF0" w:rsidTr="00E71302">
        <w:trPr>
          <w:cantSplit/>
        </w:trPr>
        <w:tc>
          <w:tcPr>
            <w:tcW w:w="4087" w:type="dxa"/>
            <w:tcBorders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:rsidR="00C27B5F" w:rsidRPr="00E71302" w:rsidRDefault="00C27B5F" w:rsidP="00E71302">
            <w:pPr>
              <w:pStyle w:val="TableText"/>
            </w:pPr>
            <w:r w:rsidRPr="00E71302">
              <w:rPr>
                <w:b/>
              </w:rPr>
              <w:t>Black or African-American</w:t>
            </w:r>
            <w:r w:rsidRPr="00E71302">
              <w:t xml:space="preserve">—A person who has origins in any of the Black racial groups of Africa </w:t>
            </w:r>
            <w:r w:rsidRPr="00E71302">
              <w:rPr>
                <w:u w:val="single"/>
              </w:rPr>
              <w:t>but not of Hispanic culture or origin.</w:t>
            </w:r>
          </w:p>
        </w:tc>
        <w:tc>
          <w:tcPr>
            <w:tcW w:w="5513" w:type="dxa"/>
            <w:tcMar>
              <w:top w:w="29" w:type="dxa"/>
              <w:left w:w="115" w:type="dxa"/>
              <w:bottom w:w="14" w:type="dxa"/>
              <w:right w:w="115" w:type="dxa"/>
            </w:tcMar>
          </w:tcPr>
          <w:p w:rsidR="00C27B5F" w:rsidRPr="00E71302" w:rsidRDefault="00C27B5F" w:rsidP="00E71302">
            <w:pPr>
              <w:pStyle w:val="TableText"/>
            </w:pPr>
            <w:r w:rsidRPr="00E71302">
              <w:rPr>
                <w:b/>
              </w:rPr>
              <w:t>Black or African American</w:t>
            </w:r>
            <w:r w:rsidRPr="00E71302">
              <w:t>—A person having origins in any of the Black racial groups of Africa.</w:t>
            </w:r>
          </w:p>
        </w:tc>
      </w:tr>
      <w:tr w:rsidR="00C27B5F" w:rsidRPr="00654FF0" w:rsidTr="00E71302">
        <w:trPr>
          <w:cantSplit/>
        </w:trPr>
        <w:tc>
          <w:tcPr>
            <w:tcW w:w="4087" w:type="dxa"/>
            <w:tcBorders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:rsidR="00C27B5F" w:rsidRPr="00E71302" w:rsidRDefault="00C27B5F" w:rsidP="00E71302">
            <w:pPr>
              <w:pStyle w:val="TableText"/>
            </w:pPr>
            <w:r w:rsidRPr="00E71302">
              <w:rPr>
                <w:b/>
              </w:rPr>
              <w:t>Hispanic or Latino</w:t>
            </w:r>
            <w:r w:rsidRPr="00E71302">
              <w:t>—A person of Mexican, Puerto Rican, Cuban, Central or South American, or other Spanish culture or origin, regardless of race.</w:t>
            </w:r>
          </w:p>
        </w:tc>
        <w:tc>
          <w:tcPr>
            <w:tcW w:w="5513" w:type="dxa"/>
            <w:tcMar>
              <w:top w:w="29" w:type="dxa"/>
              <w:left w:w="115" w:type="dxa"/>
              <w:bottom w:w="14" w:type="dxa"/>
              <w:right w:w="115" w:type="dxa"/>
            </w:tcMar>
          </w:tcPr>
          <w:p w:rsidR="00C27B5F" w:rsidRPr="00E71302" w:rsidRDefault="00C27B5F" w:rsidP="00E71302">
            <w:pPr>
              <w:pStyle w:val="TableText"/>
            </w:pPr>
            <w:r w:rsidRPr="00E71302">
              <w:rPr>
                <w:b/>
              </w:rPr>
              <w:t>Hispanic/Latino of any race</w:t>
            </w:r>
            <w:r w:rsidRPr="00E71302">
              <w:t xml:space="preserve">—A person of Cuban, Mexican, Puerto Rican, South </w:t>
            </w:r>
            <w:r w:rsidRPr="00E71302">
              <w:rPr>
                <w:u w:val="single"/>
              </w:rPr>
              <w:t>or Central American</w:t>
            </w:r>
            <w:r w:rsidRPr="00E71302">
              <w:t xml:space="preserve">, or other Spanish culture or origin, regardless of race. </w:t>
            </w:r>
            <w:r w:rsidRPr="00E71302">
              <w:rPr>
                <w:u w:val="single"/>
              </w:rPr>
              <w:t>The term ``Spanish origin'' can be used in addition to ``Hispanic/Latino or Latino.''</w:t>
            </w:r>
          </w:p>
        </w:tc>
      </w:tr>
      <w:tr w:rsidR="00C27B5F" w:rsidRPr="00654FF0" w:rsidTr="00E71302">
        <w:trPr>
          <w:cantSplit/>
        </w:trPr>
        <w:tc>
          <w:tcPr>
            <w:tcW w:w="4087" w:type="dxa"/>
            <w:tcBorders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:rsidR="00C27B5F" w:rsidRPr="00E71302" w:rsidRDefault="00C27B5F" w:rsidP="00E71302">
            <w:pPr>
              <w:pStyle w:val="TableText"/>
            </w:pPr>
            <w:r w:rsidRPr="00E71302">
              <w:rPr>
                <w:b/>
              </w:rPr>
              <w:t>White</w:t>
            </w:r>
            <w:r w:rsidRPr="00E71302">
              <w:t xml:space="preserve">—A person who has origins in any of the original peoples of Europe, North Africa, or the Middle East </w:t>
            </w:r>
            <w:r w:rsidRPr="00E71302">
              <w:rPr>
                <w:u w:val="single"/>
              </w:rPr>
              <w:t>but not of Hispanic culture or origin</w:t>
            </w:r>
            <w:r w:rsidRPr="00E71302">
              <w:t>.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:rsidR="00C27B5F" w:rsidRPr="00E71302" w:rsidRDefault="00C27B5F" w:rsidP="00E71302">
            <w:pPr>
              <w:pStyle w:val="TableText"/>
            </w:pPr>
            <w:r w:rsidRPr="00E71302">
              <w:rPr>
                <w:b/>
              </w:rPr>
              <w:t>White</w:t>
            </w:r>
            <w:r w:rsidRPr="00E71302">
              <w:t>—A person having origins in any of the original peoples of Europe, the Middle East, or North Africa.</w:t>
            </w:r>
          </w:p>
        </w:tc>
      </w:tr>
      <w:tr w:rsidR="00C27B5F" w:rsidRPr="00654FF0" w:rsidTr="00E71302">
        <w:trPr>
          <w:cantSplit/>
        </w:trPr>
        <w:tc>
          <w:tcPr>
            <w:tcW w:w="4087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:rsidR="00C27B5F" w:rsidRPr="00E71302" w:rsidRDefault="00237241" w:rsidP="00654FF0">
            <w:pPr>
              <w:pStyle w:val="b2"/>
              <w:numPr>
                <w:ilvl w:val="0"/>
                <w:numId w:val="0"/>
              </w:numPr>
              <w:rPr>
                <w:rFonts w:ascii="Arial" w:hAnsi="Arial" w:cs="Arial"/>
                <w:b/>
                <w:sz w:val="19"/>
                <w:szCs w:val="19"/>
              </w:rPr>
            </w:pPr>
            <w:r w:rsidRPr="00E7130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:rsidR="00154DC8" w:rsidRPr="00E71302" w:rsidRDefault="00C27B5F" w:rsidP="00E71302">
            <w:pPr>
              <w:pStyle w:val="TableText"/>
            </w:pPr>
            <w:r w:rsidRPr="00E71302">
              <w:rPr>
                <w:b/>
              </w:rPr>
              <w:t>Two or more races—</w:t>
            </w:r>
            <w:r w:rsidRPr="00E71302">
              <w:t>A person having origins in two or more race categories and not Hispanic/Latino.</w:t>
            </w:r>
          </w:p>
        </w:tc>
      </w:tr>
    </w:tbl>
    <w:p w:rsidR="008E16E5" w:rsidRPr="00710B92" w:rsidRDefault="008E16E5" w:rsidP="00E71302">
      <w:pPr>
        <w:pStyle w:val="Heading2"/>
      </w:pPr>
      <w:r w:rsidRPr="00710B92">
        <w:t>Implications of New Standards</w:t>
      </w:r>
    </w:p>
    <w:p w:rsidR="00F57B7F" w:rsidRDefault="00F57B7F" w:rsidP="002916B6">
      <w:pPr>
        <w:pStyle w:val="BodyText"/>
      </w:pPr>
      <w:r>
        <w:t xml:space="preserve">To meet ED’s requirement to implement the new standards for collecting and reporting race and ethnicity data starting July 1, 2010, </w:t>
      </w:r>
      <w:r w:rsidR="00385AF1">
        <w:t>S</w:t>
      </w:r>
      <w:r w:rsidR="00A773EE">
        <w:t xml:space="preserve">tate adult education programs can take </w:t>
      </w:r>
      <w:r>
        <w:t>a number of steps</w:t>
      </w:r>
      <w:r w:rsidR="000E4982">
        <w:t>.</w:t>
      </w:r>
      <w:r>
        <w:t xml:space="preserve"> </w:t>
      </w:r>
      <w:r w:rsidR="009F5026">
        <w:t xml:space="preserve">Four </w:t>
      </w:r>
      <w:r w:rsidR="000E4982">
        <w:t>of the most critical steps are described below.</w:t>
      </w:r>
    </w:p>
    <w:p w:rsidR="008E16E5" w:rsidRDefault="00F57B7F" w:rsidP="00237241">
      <w:pPr>
        <w:pStyle w:val="BulletList"/>
        <w:spacing w:after="120"/>
        <w:ind w:right="-270"/>
      </w:pPr>
      <w:r w:rsidRPr="00237241">
        <w:rPr>
          <w:b/>
        </w:rPr>
        <w:t xml:space="preserve">Examine current policies </w:t>
      </w:r>
      <w:r w:rsidR="00002AF0" w:rsidRPr="00237241">
        <w:rPr>
          <w:b/>
        </w:rPr>
        <w:t xml:space="preserve">and procedures </w:t>
      </w:r>
      <w:r w:rsidRPr="00237241">
        <w:rPr>
          <w:b/>
        </w:rPr>
        <w:t>governing how you</w:t>
      </w:r>
      <w:r w:rsidR="009B6CD4" w:rsidRPr="00237241">
        <w:rPr>
          <w:b/>
        </w:rPr>
        <w:t xml:space="preserve">r </w:t>
      </w:r>
      <w:r w:rsidR="00385AF1" w:rsidRPr="00237241">
        <w:rPr>
          <w:b/>
        </w:rPr>
        <w:t>S</w:t>
      </w:r>
      <w:r w:rsidR="009B6CD4" w:rsidRPr="00237241">
        <w:rPr>
          <w:b/>
        </w:rPr>
        <w:t>tate</w:t>
      </w:r>
      <w:r w:rsidRPr="00237241">
        <w:rPr>
          <w:b/>
        </w:rPr>
        <w:t xml:space="preserve"> collect</w:t>
      </w:r>
      <w:r w:rsidR="009B6CD4" w:rsidRPr="00237241">
        <w:rPr>
          <w:b/>
        </w:rPr>
        <w:t>s</w:t>
      </w:r>
      <w:r w:rsidRPr="00237241">
        <w:rPr>
          <w:b/>
        </w:rPr>
        <w:t xml:space="preserve"> and report</w:t>
      </w:r>
      <w:r w:rsidR="009B6CD4" w:rsidRPr="00237241">
        <w:rPr>
          <w:b/>
        </w:rPr>
        <w:t>s</w:t>
      </w:r>
      <w:r w:rsidRPr="00237241">
        <w:rPr>
          <w:b/>
        </w:rPr>
        <w:t xml:space="preserve"> race and ethnicity data to determine what will need to be updated.</w:t>
      </w:r>
      <w:r w:rsidR="00793C4D" w:rsidRPr="00237241">
        <w:rPr>
          <w:b/>
        </w:rPr>
        <w:t xml:space="preserve"> </w:t>
      </w:r>
      <w:r w:rsidR="001D3E64">
        <w:t xml:space="preserve">States </w:t>
      </w:r>
      <w:r>
        <w:t>may need to set a new coding scheme if non</w:t>
      </w:r>
      <w:r w:rsidR="004E403E">
        <w:t>f</w:t>
      </w:r>
      <w:r>
        <w:t xml:space="preserve">ederal policies dictate that </w:t>
      </w:r>
      <w:r w:rsidR="001D3E64">
        <w:t xml:space="preserve">a </w:t>
      </w:r>
      <w:r w:rsidR="00385AF1">
        <w:t>S</w:t>
      </w:r>
      <w:r w:rsidR="001D3E64">
        <w:t xml:space="preserve">tate must </w:t>
      </w:r>
      <w:r>
        <w:t xml:space="preserve">collect additional information about </w:t>
      </w:r>
      <w:r w:rsidR="001D3E64">
        <w:t>its</w:t>
      </w:r>
      <w:r>
        <w:t xml:space="preserve"> students’ ethnicity.</w:t>
      </w:r>
      <w:r w:rsidR="00793C4D">
        <w:t xml:space="preserve"> </w:t>
      </w:r>
      <w:r w:rsidR="00FB539B">
        <w:t>Although not required</w:t>
      </w:r>
      <w:r>
        <w:t xml:space="preserve">, </w:t>
      </w:r>
      <w:r w:rsidR="00385AF1">
        <w:t>S</w:t>
      </w:r>
      <w:r w:rsidR="001D3E64">
        <w:t>tates</w:t>
      </w:r>
      <w:r>
        <w:t xml:space="preserve"> may wish to bridge between the existing and new reporting categories to allow time for trend analysis using those data.</w:t>
      </w:r>
    </w:p>
    <w:p w:rsidR="00F23034" w:rsidRDefault="00A110A8" w:rsidP="00237241">
      <w:pPr>
        <w:pStyle w:val="BulletList"/>
        <w:spacing w:after="120"/>
      </w:pPr>
      <w:r w:rsidRPr="00237241">
        <w:rPr>
          <w:b/>
        </w:rPr>
        <w:t xml:space="preserve">Consider what adjustments </w:t>
      </w:r>
      <w:r w:rsidR="001C201D" w:rsidRPr="00237241">
        <w:rPr>
          <w:b/>
        </w:rPr>
        <w:t xml:space="preserve">will be required for </w:t>
      </w:r>
      <w:r w:rsidRPr="00237241">
        <w:rPr>
          <w:b/>
        </w:rPr>
        <w:t xml:space="preserve">your </w:t>
      </w:r>
      <w:r w:rsidR="00385AF1" w:rsidRPr="00237241">
        <w:rPr>
          <w:b/>
        </w:rPr>
        <w:t>S</w:t>
      </w:r>
      <w:r w:rsidR="009B6CD4" w:rsidRPr="00237241">
        <w:rPr>
          <w:b/>
        </w:rPr>
        <w:t xml:space="preserve">tate’s </w:t>
      </w:r>
      <w:r w:rsidR="003E6458" w:rsidRPr="00237241">
        <w:rPr>
          <w:b/>
        </w:rPr>
        <w:t xml:space="preserve">student intake forms and </w:t>
      </w:r>
      <w:r w:rsidRPr="00237241">
        <w:rPr>
          <w:b/>
        </w:rPr>
        <w:t>software systems that collect, maintain, and report race and ethnicity data.</w:t>
      </w:r>
      <w:r w:rsidR="00793C4D" w:rsidRPr="00237241">
        <w:rPr>
          <w:b/>
        </w:rPr>
        <w:t xml:space="preserve"> </w:t>
      </w:r>
      <w:r w:rsidR="00225074">
        <w:t xml:space="preserve">The </w:t>
      </w:r>
      <w:r w:rsidR="00385AF1">
        <w:t>S</w:t>
      </w:r>
      <w:r w:rsidR="00225074">
        <w:t xml:space="preserve">tate data system must be capable of separating race and ethnicity and aggregating additional race and ethnicity categories used within the </w:t>
      </w:r>
      <w:r w:rsidR="00385AF1">
        <w:t>S</w:t>
      </w:r>
      <w:r w:rsidR="00225074">
        <w:t xml:space="preserve">tate into the </w:t>
      </w:r>
      <w:r w:rsidR="004E403E">
        <w:t>F</w:t>
      </w:r>
      <w:r w:rsidR="00225074">
        <w:t>ederal reporting categories.</w:t>
      </w:r>
      <w:r w:rsidR="00793C4D">
        <w:t xml:space="preserve"> </w:t>
      </w:r>
      <w:r w:rsidR="00225074">
        <w:t xml:space="preserve">Students are to be reported in </w:t>
      </w:r>
      <w:r w:rsidR="00225074" w:rsidRPr="003A44A0">
        <w:rPr>
          <w:i/>
        </w:rPr>
        <w:t>only one</w:t>
      </w:r>
      <w:r w:rsidR="00225074">
        <w:t xml:space="preserve"> of the </w:t>
      </w:r>
      <w:r w:rsidR="004E403E">
        <w:t>F</w:t>
      </w:r>
      <w:r w:rsidR="00225074">
        <w:t>ederal categories</w:t>
      </w:r>
      <w:r w:rsidR="0082128E">
        <w:t>,</w:t>
      </w:r>
      <w:r w:rsidR="00225074">
        <w:t xml:space="preserve"> according to the procedures just described. Consequently, you may need to make a</w:t>
      </w:r>
      <w:r w:rsidR="002F3B86" w:rsidRPr="002F3B86">
        <w:t xml:space="preserve">djustments </w:t>
      </w:r>
      <w:r w:rsidR="00225074">
        <w:t xml:space="preserve">in </w:t>
      </w:r>
      <w:r w:rsidR="002F3B86">
        <w:t xml:space="preserve">your </w:t>
      </w:r>
      <w:r w:rsidR="00385AF1">
        <w:t>S</w:t>
      </w:r>
      <w:r w:rsidR="009B6CD4">
        <w:t xml:space="preserve">tate’s </w:t>
      </w:r>
      <w:r w:rsidR="003E6458">
        <w:t xml:space="preserve">intake forms and </w:t>
      </w:r>
      <w:r w:rsidR="002F3B86">
        <w:t>database</w:t>
      </w:r>
      <w:r w:rsidR="00225074">
        <w:t>, which may include</w:t>
      </w:r>
      <w:r w:rsidR="002F3B86">
        <w:t xml:space="preserve"> </w:t>
      </w:r>
      <w:r w:rsidR="00225074">
        <w:t xml:space="preserve">performing </w:t>
      </w:r>
      <w:r w:rsidR="00F23034">
        <w:t xml:space="preserve">a </w:t>
      </w:r>
      <w:r w:rsidR="002F3B86">
        <w:t xml:space="preserve">data conversion </w:t>
      </w:r>
      <w:r w:rsidR="00225074">
        <w:t xml:space="preserve">that </w:t>
      </w:r>
      <w:r w:rsidR="002F3B86">
        <w:t>may require re</w:t>
      </w:r>
      <w:r w:rsidR="00FA0021">
        <w:t>-</w:t>
      </w:r>
      <w:r w:rsidR="002F3B86">
        <w:t>identifying students, changing data entry screens, changing business rules to allow proper data validation</w:t>
      </w:r>
      <w:r w:rsidR="00F23034">
        <w:t xml:space="preserve">, and updating </w:t>
      </w:r>
      <w:r w:rsidR="00053880">
        <w:t xml:space="preserve">the logic that generates your </w:t>
      </w:r>
      <w:r w:rsidR="00F23034">
        <w:t xml:space="preserve">reports </w:t>
      </w:r>
      <w:r w:rsidR="00053880">
        <w:t xml:space="preserve">with </w:t>
      </w:r>
      <w:r w:rsidR="00F23034">
        <w:t>race and ethnicity data</w:t>
      </w:r>
      <w:r w:rsidR="00053880">
        <w:t xml:space="preserve"> based on the new business rules</w:t>
      </w:r>
      <w:r w:rsidR="00F23034">
        <w:t>.</w:t>
      </w:r>
      <w:r w:rsidR="00793C4D">
        <w:t xml:space="preserve"> </w:t>
      </w:r>
      <w:r w:rsidR="00F23034">
        <w:t xml:space="preserve">As </w:t>
      </w:r>
      <w:r w:rsidR="009B6CD4">
        <w:t xml:space="preserve">your </w:t>
      </w:r>
      <w:r w:rsidR="00385AF1">
        <w:t>S</w:t>
      </w:r>
      <w:r w:rsidR="009B6CD4">
        <w:t xml:space="preserve">tate </w:t>
      </w:r>
      <w:r w:rsidR="00F23034">
        <w:t>make</w:t>
      </w:r>
      <w:r w:rsidR="00002AF0">
        <w:t>s</w:t>
      </w:r>
      <w:r w:rsidR="00F23034">
        <w:t xml:space="preserve"> these changes, consider how </w:t>
      </w:r>
      <w:r w:rsidR="0082128E">
        <w:t xml:space="preserve">they </w:t>
      </w:r>
      <w:r w:rsidR="00053880">
        <w:t xml:space="preserve">may </w:t>
      </w:r>
      <w:r w:rsidR="00F23034">
        <w:t xml:space="preserve">affect your other reporting obligations to </w:t>
      </w:r>
      <w:r w:rsidR="00002AF0">
        <w:t xml:space="preserve">other </w:t>
      </w:r>
      <w:r w:rsidR="00762586">
        <w:t>S</w:t>
      </w:r>
      <w:r w:rsidR="00F23034">
        <w:t xml:space="preserve">tate </w:t>
      </w:r>
      <w:r w:rsidR="00002AF0">
        <w:t xml:space="preserve">agencies or programs </w:t>
      </w:r>
      <w:r w:rsidR="00F23034">
        <w:t xml:space="preserve">and/or other </w:t>
      </w:r>
      <w:r w:rsidR="00F23034">
        <w:lastRenderedPageBreak/>
        <w:t>funders.</w:t>
      </w:r>
      <w:r w:rsidR="00793C4D">
        <w:t xml:space="preserve"> </w:t>
      </w:r>
      <w:r w:rsidR="00F23034">
        <w:t xml:space="preserve">Finally, </w:t>
      </w:r>
      <w:r w:rsidR="00053880">
        <w:t xml:space="preserve">it </w:t>
      </w:r>
      <w:r w:rsidR="0082128E">
        <w:t xml:space="preserve">also </w:t>
      </w:r>
      <w:r w:rsidR="00053880">
        <w:t>will be necessary to develop</w:t>
      </w:r>
      <w:r w:rsidR="00F23034">
        <w:t xml:space="preserve"> a plan to </w:t>
      </w:r>
      <w:r w:rsidR="00053880">
        <w:t>test whether the changes are accurate.</w:t>
      </w:r>
      <w:r w:rsidR="00793C4D">
        <w:t xml:space="preserve"> </w:t>
      </w:r>
      <w:r w:rsidR="00053880" w:rsidRPr="00053880">
        <w:t>F</w:t>
      </w:r>
      <w:r w:rsidRPr="00A110A8">
        <w:t>or</w:t>
      </w:r>
      <w:r>
        <w:t xml:space="preserve"> </w:t>
      </w:r>
      <w:r w:rsidR="00385AF1">
        <w:t>S</w:t>
      </w:r>
      <w:r>
        <w:t xml:space="preserve">tates that use vendors, it is important that they understand the changes </w:t>
      </w:r>
      <w:r w:rsidR="00A329D9">
        <w:t xml:space="preserve">based on the new standards </w:t>
      </w:r>
      <w:r>
        <w:t xml:space="preserve">and can set a reasonable schedule to complete the changes. </w:t>
      </w:r>
    </w:p>
    <w:p w:rsidR="0082128E" w:rsidRPr="0054677F" w:rsidRDefault="000E4982" w:rsidP="00237241">
      <w:pPr>
        <w:pStyle w:val="BulletList"/>
        <w:spacing w:after="120"/>
      </w:pPr>
      <w:r w:rsidRPr="00710B92">
        <w:rPr>
          <w:b/>
        </w:rPr>
        <w:t>D</w:t>
      </w:r>
      <w:r w:rsidR="00A110A8" w:rsidRPr="00710B92">
        <w:rPr>
          <w:b/>
        </w:rPr>
        <w:t xml:space="preserve">escribe the changes and </w:t>
      </w:r>
      <w:r w:rsidRPr="00710B92">
        <w:rPr>
          <w:b/>
        </w:rPr>
        <w:t xml:space="preserve">their </w:t>
      </w:r>
      <w:r w:rsidR="00A110A8" w:rsidRPr="00710B92">
        <w:rPr>
          <w:b/>
        </w:rPr>
        <w:t xml:space="preserve">implications </w:t>
      </w:r>
      <w:r w:rsidRPr="00710B92">
        <w:rPr>
          <w:b/>
        </w:rPr>
        <w:t>to key constituents</w:t>
      </w:r>
      <w:r w:rsidR="00A110A8" w:rsidRPr="00710B92">
        <w:rPr>
          <w:b/>
        </w:rPr>
        <w:t>.</w:t>
      </w:r>
      <w:r w:rsidR="00793C4D">
        <w:t xml:space="preserve"> </w:t>
      </w:r>
      <w:r w:rsidR="003A3B66">
        <w:t xml:space="preserve">Training for staff at every level </w:t>
      </w:r>
      <w:r>
        <w:t xml:space="preserve">of the State program </w:t>
      </w:r>
      <w:r w:rsidR="00EA0406">
        <w:t>will be critical to the successful implementation of the new standards.</w:t>
      </w:r>
      <w:r w:rsidR="00793C4D">
        <w:t xml:space="preserve"> </w:t>
      </w:r>
      <w:r w:rsidR="00EA0406">
        <w:t>Training should be customized depending on the role staff have and include a description of the new standards, how you are implementing them, and what the impact will be for their work.</w:t>
      </w:r>
      <w:r w:rsidR="00793C4D">
        <w:t xml:space="preserve"> </w:t>
      </w:r>
    </w:p>
    <w:p w:rsidR="00002AF0" w:rsidRPr="002916B6" w:rsidRDefault="009F5026" w:rsidP="00237241">
      <w:pPr>
        <w:pStyle w:val="BulletList"/>
      </w:pPr>
      <w:r w:rsidRPr="00D42806">
        <w:rPr>
          <w:b/>
        </w:rPr>
        <w:t xml:space="preserve">Adjust </w:t>
      </w:r>
      <w:r w:rsidR="0082128E" w:rsidRPr="00D42806">
        <w:rPr>
          <w:b/>
        </w:rPr>
        <w:t>h</w:t>
      </w:r>
      <w:r w:rsidRPr="00D42806">
        <w:rPr>
          <w:b/>
        </w:rPr>
        <w:t xml:space="preserve">ow </w:t>
      </w:r>
      <w:r w:rsidR="0082128E" w:rsidRPr="00D42806">
        <w:rPr>
          <w:b/>
        </w:rPr>
        <w:t>y</w:t>
      </w:r>
      <w:r w:rsidRPr="00D42806">
        <w:rPr>
          <w:b/>
        </w:rPr>
        <w:t xml:space="preserve">ou </w:t>
      </w:r>
      <w:r w:rsidR="0082128E" w:rsidRPr="00D42806">
        <w:rPr>
          <w:b/>
        </w:rPr>
        <w:t>r</w:t>
      </w:r>
      <w:r w:rsidR="003A44A0" w:rsidRPr="00D42806">
        <w:rPr>
          <w:b/>
        </w:rPr>
        <w:t xml:space="preserve">eport to the </w:t>
      </w:r>
      <w:r w:rsidR="0082128E" w:rsidRPr="00D42806">
        <w:rPr>
          <w:rFonts w:eastAsia="Calibri"/>
          <w:b/>
        </w:rPr>
        <w:t>National Reporting System for Adult Education (</w:t>
      </w:r>
      <w:r w:rsidR="003A44A0" w:rsidRPr="00D42806">
        <w:rPr>
          <w:b/>
        </w:rPr>
        <w:t>NRS</w:t>
      </w:r>
      <w:r w:rsidR="0082128E" w:rsidRPr="00D42806">
        <w:rPr>
          <w:b/>
        </w:rPr>
        <w:t>)</w:t>
      </w:r>
      <w:r w:rsidR="003A44A0" w:rsidRPr="00D42806">
        <w:rPr>
          <w:b/>
        </w:rPr>
        <w:t>.</w:t>
      </w:r>
      <w:r w:rsidR="00793C4D">
        <w:t xml:space="preserve"> </w:t>
      </w:r>
      <w:r w:rsidR="003A44A0" w:rsidRPr="0082128E">
        <w:t>Tables 1, 2</w:t>
      </w:r>
      <w:r w:rsidR="0082128E" w:rsidRPr="0082128E">
        <w:t>,</w:t>
      </w:r>
      <w:r w:rsidR="003A44A0" w:rsidRPr="0082128E">
        <w:t xml:space="preserve"> and 12 of the NRS</w:t>
      </w:r>
      <w:r w:rsidR="003A44A0" w:rsidRPr="0054677F">
        <w:t xml:space="preserve"> have been revised to reflect the new race and ethnicity categories</w:t>
      </w:r>
      <w:r w:rsidR="0082128E">
        <w:t>,</w:t>
      </w:r>
      <w:r w:rsidR="003A44A0" w:rsidRPr="0054677F">
        <w:t xml:space="preserve"> and these revised tables are required for the program year beginning on July 1, 2010</w:t>
      </w:r>
      <w:r w:rsidR="0082128E">
        <w:t>,</w:t>
      </w:r>
      <w:r w:rsidR="003A44A0" w:rsidRPr="0054677F">
        <w:t xml:space="preserve"> for the report due to ED on December 31, 2011.</w:t>
      </w:r>
    </w:p>
    <w:p w:rsidR="002B5B51" w:rsidRPr="0054677F" w:rsidRDefault="00002AF0" w:rsidP="00237241">
      <w:pPr>
        <w:pStyle w:val="Heading2"/>
      </w:pPr>
      <w:r w:rsidRPr="0054677F">
        <w:t xml:space="preserve">Additional </w:t>
      </w:r>
      <w:r w:rsidR="002B5B51" w:rsidRPr="0054677F">
        <w:t>Resources</w:t>
      </w:r>
    </w:p>
    <w:p w:rsidR="00CE6D91" w:rsidRPr="00CE6D91" w:rsidRDefault="00CE6D91" w:rsidP="002916B6">
      <w:pPr>
        <w:pStyle w:val="BodyText"/>
      </w:pPr>
      <w:r w:rsidRPr="0054677F">
        <w:t xml:space="preserve">If you would like more information, </w:t>
      </w:r>
      <w:r w:rsidR="003A44A0" w:rsidRPr="0054677F">
        <w:t>including guidance on additional race and ethnicity categor</w:t>
      </w:r>
      <w:r w:rsidR="003A44A0">
        <w:t xml:space="preserve">ies, </w:t>
      </w:r>
      <w:r w:rsidRPr="00CE6D91">
        <w:t>please consult</w:t>
      </w:r>
      <w:r w:rsidR="003A44A0">
        <w:t xml:space="preserve"> the following documents.</w:t>
      </w:r>
    </w:p>
    <w:p w:rsidR="003A44A0" w:rsidRPr="002B5B51" w:rsidRDefault="00652351" w:rsidP="002916B6">
      <w:pPr>
        <w:pStyle w:val="BodyText"/>
      </w:pPr>
      <w:r w:rsidRPr="00652351">
        <w:rPr>
          <w:i/>
        </w:rPr>
        <w:t>Managing an Identity Crisis: Forum Guide to Implementing New Federal Race and Ethnicity Categories</w:t>
      </w:r>
      <w:r w:rsidR="003A44A0">
        <w:t xml:space="preserve"> is a helpful guide developed by the </w:t>
      </w:r>
      <w:r w:rsidR="003A44A0" w:rsidRPr="002B5B51">
        <w:t>Nationa</w:t>
      </w:r>
      <w:r w:rsidR="003A44A0">
        <w:t>l Forum on Education Statistics’</w:t>
      </w:r>
      <w:r w:rsidR="003A44A0" w:rsidRPr="002B5B51">
        <w:t xml:space="preserve"> Race/Ethnicity Data Implementation Task Force</w:t>
      </w:r>
      <w:r w:rsidR="003A44A0">
        <w:t xml:space="preserve"> for </w:t>
      </w:r>
      <w:r w:rsidR="00762586">
        <w:t>S</w:t>
      </w:r>
      <w:r w:rsidR="003A44A0">
        <w:t>tate and local education agencies that outlines best practices for implementing the new standards</w:t>
      </w:r>
      <w:r w:rsidR="008931D8">
        <w:t>. (</w:t>
      </w:r>
      <w:hyperlink r:id="rId9" w:history="1">
        <w:r w:rsidR="0054677F" w:rsidRPr="00187004">
          <w:rPr>
            <w:rStyle w:val="Hyperlink"/>
          </w:rPr>
          <w:t>http://nces.ed.gov/pubsearch/pubsinfo.asp?pubid=2008802</w:t>
        </w:r>
      </w:hyperlink>
      <w:r w:rsidR="003A44A0">
        <w:t>)</w:t>
      </w:r>
      <w:r w:rsidR="00793C4D">
        <w:t xml:space="preserve"> </w:t>
      </w:r>
    </w:p>
    <w:p w:rsidR="002B5B51" w:rsidRPr="002B5B51" w:rsidRDefault="00652351" w:rsidP="002916B6">
      <w:pPr>
        <w:pStyle w:val="BodyText"/>
      </w:pPr>
      <w:r w:rsidRPr="00652351">
        <w:rPr>
          <w:i/>
        </w:rPr>
        <w:t>Revisions to the Standards for the Classification of Federal Data on Race and Ethnicity, Notice of Decision</w:t>
      </w:r>
      <w:r w:rsidR="008E3DDE">
        <w:rPr>
          <w:i/>
        </w:rPr>
        <w:t xml:space="preserve"> </w:t>
      </w:r>
      <w:r w:rsidR="008E3DDE" w:rsidRPr="008E3DDE">
        <w:t>is</w:t>
      </w:r>
      <w:r w:rsidR="008E3DDE">
        <w:rPr>
          <w:i/>
        </w:rPr>
        <w:t xml:space="preserve"> </w:t>
      </w:r>
      <w:r w:rsidR="008E3DDE" w:rsidRPr="008E3DDE">
        <w:t>t</w:t>
      </w:r>
      <w:r w:rsidR="008E3DDE">
        <w:t xml:space="preserve">he original document issued by </w:t>
      </w:r>
      <w:r w:rsidR="0082128E">
        <w:t>OMB</w:t>
      </w:r>
      <w:r w:rsidR="008E3DDE">
        <w:t xml:space="preserve"> describing the new standards to collect, maintain</w:t>
      </w:r>
      <w:r w:rsidR="0082128E">
        <w:t>,</w:t>
      </w:r>
      <w:r w:rsidR="008E3DDE">
        <w:t xml:space="preserve"> and report race and ethnicity data for Federal </w:t>
      </w:r>
      <w:r w:rsidR="00762586">
        <w:t>A</w:t>
      </w:r>
      <w:r w:rsidR="008E3DDE">
        <w:t>gencies.</w:t>
      </w:r>
      <w:r w:rsidR="00793C4D">
        <w:t xml:space="preserve"> </w:t>
      </w:r>
      <w:r w:rsidR="008E3DDE">
        <w:t xml:space="preserve">It appeared in the </w:t>
      </w:r>
      <w:r w:rsidR="001661F4" w:rsidRPr="001661F4">
        <w:t>Federal Register on October 30, 1997</w:t>
      </w:r>
      <w:r w:rsidR="002B5B51" w:rsidRPr="009F5026">
        <w:t>.</w:t>
      </w:r>
      <w:r w:rsidR="00793C4D">
        <w:t xml:space="preserve"> </w:t>
      </w:r>
      <w:r w:rsidR="006B506C">
        <w:t>(</w:t>
      </w:r>
      <w:hyperlink r:id="rId10" w:history="1">
        <w:r w:rsidR="00AA6A2A" w:rsidRPr="00AC5825">
          <w:rPr>
            <w:rStyle w:val="Hyperlink"/>
          </w:rPr>
          <w:t>http://www.whitehouse.gov/omb/fedreg_1997standards</w:t>
        </w:r>
      </w:hyperlink>
      <w:r w:rsidR="001661F4">
        <w:t>)</w:t>
      </w:r>
    </w:p>
    <w:p w:rsidR="000F739D" w:rsidRDefault="00652351" w:rsidP="002916B6">
      <w:pPr>
        <w:pStyle w:val="BodyText"/>
      </w:pPr>
      <w:r w:rsidRPr="00652351">
        <w:t>Final Guidance on Maintaining, Collecting, and Reporting Racial and Ethnic Data to the U.S. Department of Education, Final Guidance</w:t>
      </w:r>
      <w:r w:rsidR="008E3DDE" w:rsidRPr="009F5026">
        <w:t xml:space="preserve"> provides instructions on how educational institutions and other ED-funded programs must </w:t>
      </w:r>
      <w:r w:rsidR="00AA6A2A">
        <w:t xml:space="preserve">manage </w:t>
      </w:r>
      <w:r w:rsidR="008E3DDE" w:rsidRPr="009F5026">
        <w:t>race and ethnicity data.</w:t>
      </w:r>
      <w:r w:rsidR="00793C4D">
        <w:t xml:space="preserve"> </w:t>
      </w:r>
      <w:r w:rsidR="008E3DDE" w:rsidRPr="009F5026">
        <w:t xml:space="preserve">It appeared in the </w:t>
      </w:r>
      <w:r w:rsidR="001661F4" w:rsidRPr="001661F4">
        <w:t>Federal Register on October 19, 2007</w:t>
      </w:r>
      <w:r w:rsidR="000F739D">
        <w:t>.</w:t>
      </w:r>
      <w:r w:rsidR="001661F4">
        <w:t xml:space="preserve"> (</w:t>
      </w:r>
      <w:hyperlink r:id="rId11" w:history="1">
        <w:r w:rsidR="00AA6A2A" w:rsidRPr="00AC5825">
          <w:rPr>
            <w:rStyle w:val="Hyperlink"/>
          </w:rPr>
          <w:t>http://edocket.access.gpo.gov/2007/pdf/E7-20613.pdf</w:t>
        </w:r>
      </w:hyperlink>
      <w:r w:rsidR="006B506C">
        <w:t>)</w:t>
      </w:r>
    </w:p>
    <w:p w:rsidR="002B5B51" w:rsidRPr="00237241" w:rsidRDefault="002B5B51" w:rsidP="00237241">
      <w:pPr>
        <w:pStyle w:val="BodyText"/>
      </w:pPr>
      <w:r w:rsidRPr="00237241">
        <w:t xml:space="preserve">The </w:t>
      </w:r>
      <w:r w:rsidRPr="00237241">
        <w:rPr>
          <w:b/>
        </w:rPr>
        <w:t>National Reporting System (NRS)</w:t>
      </w:r>
      <w:r w:rsidRPr="00237241">
        <w:t xml:space="preserve"> is the accountability system for the federally funded, </w:t>
      </w:r>
      <w:r w:rsidR="00385AF1" w:rsidRPr="00237241">
        <w:t>S</w:t>
      </w:r>
      <w:r w:rsidRPr="00237241">
        <w:t>tate</w:t>
      </w:r>
      <w:r w:rsidR="0082128E" w:rsidRPr="00237241">
        <w:t>-</w:t>
      </w:r>
      <w:r w:rsidRPr="00237241">
        <w:t xml:space="preserve">administered adult education program. It addresses the accountability requirements of the Adult Education and Family Literacy Act, Title II of the Workforce Investment Act (WIA-P.L. 105–220). </w:t>
      </w:r>
      <w:r w:rsidRPr="00237241">
        <w:rPr>
          <w:i/>
        </w:rPr>
        <w:t>NRS Tips</w:t>
      </w:r>
      <w:r w:rsidRPr="00237241">
        <w:t xml:space="preserve"> is a quick reference tool for </w:t>
      </w:r>
      <w:r w:rsidR="00385AF1" w:rsidRPr="00237241">
        <w:t>S</w:t>
      </w:r>
      <w:r w:rsidRPr="00237241">
        <w:t xml:space="preserve">tate staff, program directors, and adult education teachers. </w:t>
      </w:r>
      <w:r w:rsidRPr="00237241">
        <w:rPr>
          <w:i/>
        </w:rPr>
        <w:t>NRS Tips</w:t>
      </w:r>
      <w:r w:rsidRPr="00237241">
        <w:t xml:space="preserve"> documents are written and produced by the staff at the </w:t>
      </w:r>
      <w:r w:rsidRPr="00237241">
        <w:rPr>
          <w:b/>
        </w:rPr>
        <w:t>American Institutes for Research</w:t>
      </w:r>
      <w:r w:rsidRPr="00237241">
        <w:rPr>
          <w:b/>
          <w:vertAlign w:val="superscript"/>
        </w:rPr>
        <w:t>®</w:t>
      </w:r>
      <w:r w:rsidRPr="00237241">
        <w:rPr>
          <w:b/>
        </w:rPr>
        <w:t xml:space="preserve"> (AIR</w:t>
      </w:r>
      <w:r w:rsidRPr="00237241">
        <w:rPr>
          <w:b/>
          <w:vertAlign w:val="superscript"/>
        </w:rPr>
        <w:t>®</w:t>
      </w:r>
      <w:r w:rsidRPr="00237241">
        <w:rPr>
          <w:b/>
        </w:rPr>
        <w:t>)</w:t>
      </w:r>
      <w:r w:rsidRPr="00237241">
        <w:t xml:space="preserve">, a nonprofit research and policy organization (see </w:t>
      </w:r>
      <w:hyperlink r:id="rId12" w:history="1">
        <w:r w:rsidRPr="00237241">
          <w:rPr>
            <w:rStyle w:val="Hyperlink"/>
          </w:rPr>
          <w:t>http://www.air.org</w:t>
        </w:r>
      </w:hyperlink>
      <w:r w:rsidRPr="00237241">
        <w:t xml:space="preserve">), under contract with the </w:t>
      </w:r>
      <w:r w:rsidRPr="00237241">
        <w:rPr>
          <w:b/>
        </w:rPr>
        <w:t>Division of Adult Educational and Literacy (DAEL)</w:t>
      </w:r>
      <w:r w:rsidRPr="00237241">
        <w:t xml:space="preserve"> of the </w:t>
      </w:r>
      <w:r w:rsidRPr="00237241">
        <w:rPr>
          <w:b/>
        </w:rPr>
        <w:t>U.S. Department of Education.</w:t>
      </w:r>
      <w:r w:rsidRPr="00237241">
        <w:t xml:space="preserve"> </w:t>
      </w:r>
      <w:bookmarkStart w:id="2" w:name="OLE_LINK3"/>
      <w:bookmarkStart w:id="3" w:name="OLE_LINK4"/>
      <w:bookmarkEnd w:id="2"/>
      <w:bookmarkEnd w:id="3"/>
      <w:r w:rsidRPr="00237241">
        <w:t xml:space="preserve">Visit </w:t>
      </w:r>
      <w:hyperlink r:id="rId13" w:history="1">
        <w:r w:rsidRPr="00237241">
          <w:rPr>
            <w:rStyle w:val="Hyperlink"/>
          </w:rPr>
          <w:t>http://www.nrsweb.org</w:t>
        </w:r>
      </w:hyperlink>
      <w:r w:rsidRPr="00237241">
        <w:t xml:space="preserve"> for further information. Do you have an idea for </w:t>
      </w:r>
      <w:r w:rsidRPr="00237241">
        <w:rPr>
          <w:i/>
        </w:rPr>
        <w:t>NRS Tips?</w:t>
      </w:r>
      <w:r w:rsidRPr="00237241">
        <w:t xml:space="preserve"> Send it to </w:t>
      </w:r>
      <w:hyperlink r:id="rId14" w:history="1">
        <w:r w:rsidRPr="00237241">
          <w:rPr>
            <w:rStyle w:val="Hyperlink"/>
          </w:rPr>
          <w:t>nrs@air.org</w:t>
        </w:r>
      </w:hyperlink>
      <w:r w:rsidR="000F739D" w:rsidRPr="00237241">
        <w:t>.</w:t>
      </w:r>
    </w:p>
    <w:sectPr w:rsidR="002B5B51" w:rsidRPr="00237241" w:rsidSect="00E71302">
      <w:footerReference w:type="default" r:id="rId15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41" w:rsidRDefault="00237241" w:rsidP="000F739D">
      <w:r>
        <w:separator/>
      </w:r>
    </w:p>
  </w:endnote>
  <w:endnote w:type="continuationSeparator" w:id="0">
    <w:p w:rsidR="00237241" w:rsidRDefault="00237241" w:rsidP="000F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23724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37241" w:rsidRDefault="0023724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37241" w:rsidRPr="00F21914" w:rsidRDefault="00237241">
          <w:pPr>
            <w:pStyle w:val="NoSpacing"/>
            <w:rPr>
              <w:rFonts w:ascii="Times New Roman" w:hAnsi="Times New Roman"/>
            </w:rPr>
          </w:pPr>
          <w:r w:rsidRPr="00F21914">
            <w:rPr>
              <w:rFonts w:ascii="Times New Roman" w:hAnsi="Times New Roman"/>
              <w:b/>
            </w:rPr>
            <w:t xml:space="preserve">Page </w:t>
          </w:r>
          <w:r w:rsidR="0086056A" w:rsidRPr="00F21914">
            <w:rPr>
              <w:rFonts w:ascii="Times New Roman" w:hAnsi="Times New Roman"/>
            </w:rPr>
            <w:fldChar w:fldCharType="begin"/>
          </w:r>
          <w:r w:rsidRPr="00F21914">
            <w:rPr>
              <w:rFonts w:ascii="Times New Roman" w:hAnsi="Times New Roman"/>
            </w:rPr>
            <w:instrText xml:space="preserve"> PAGE  \* MERGEFORMAT </w:instrText>
          </w:r>
          <w:r w:rsidR="0086056A" w:rsidRPr="00F21914">
            <w:rPr>
              <w:rFonts w:ascii="Times New Roman" w:hAnsi="Times New Roman"/>
            </w:rPr>
            <w:fldChar w:fldCharType="separate"/>
          </w:r>
          <w:r w:rsidR="00775EA9" w:rsidRPr="00775EA9">
            <w:rPr>
              <w:rFonts w:ascii="Times New Roman" w:hAnsi="Times New Roman"/>
              <w:b/>
              <w:noProof/>
            </w:rPr>
            <w:t>1</w:t>
          </w:r>
          <w:r w:rsidR="0086056A" w:rsidRPr="00F21914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37241" w:rsidRDefault="0023724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23724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37241" w:rsidRDefault="0023724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37241" w:rsidRDefault="0023724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37241" w:rsidRDefault="0023724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237241" w:rsidRDefault="00237241">
    <w:pPr>
      <w:pStyle w:val="Footer"/>
    </w:pPr>
    <w:r>
      <w:t>Draft, not for distribution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41" w:rsidRDefault="00237241" w:rsidP="000F739D">
      <w:r>
        <w:separator/>
      </w:r>
    </w:p>
  </w:footnote>
  <w:footnote w:type="continuationSeparator" w:id="0">
    <w:p w:rsidR="00237241" w:rsidRDefault="00237241" w:rsidP="000F7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726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44EE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0EB7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2EC7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8A02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F652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6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68E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2E7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B4307"/>
    <w:multiLevelType w:val="hybridMultilevel"/>
    <w:tmpl w:val="3216EF90"/>
    <w:lvl w:ilvl="0" w:tplc="267CB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CF608D"/>
    <w:multiLevelType w:val="hybridMultilevel"/>
    <w:tmpl w:val="29E22CCE"/>
    <w:lvl w:ilvl="0" w:tplc="277868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E1E438F"/>
    <w:multiLevelType w:val="hybridMultilevel"/>
    <w:tmpl w:val="117E5A98"/>
    <w:lvl w:ilvl="0" w:tplc="6CFEC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22F62"/>
    <w:multiLevelType w:val="hybridMultilevel"/>
    <w:tmpl w:val="D87CAB62"/>
    <w:lvl w:ilvl="0" w:tplc="6CFEC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45CED"/>
    <w:multiLevelType w:val="multilevel"/>
    <w:tmpl w:val="549084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3233FFD"/>
    <w:multiLevelType w:val="hybridMultilevel"/>
    <w:tmpl w:val="82F47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825AF8"/>
    <w:multiLevelType w:val="hybridMultilevel"/>
    <w:tmpl w:val="549084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83A01AF"/>
    <w:multiLevelType w:val="singleLevel"/>
    <w:tmpl w:val="B3DA5B0C"/>
    <w:lvl w:ilvl="0">
      <w:start w:val="1"/>
      <w:numFmt w:val="bullet"/>
      <w:pStyle w:val="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D2043E"/>
    <w:multiLevelType w:val="hybridMultilevel"/>
    <w:tmpl w:val="0D7471A6"/>
    <w:lvl w:ilvl="0" w:tplc="4B78D31E">
      <w:start w:val="1"/>
      <w:numFmt w:val="bullet"/>
      <w:pStyle w:val="ListNumber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2D65C0"/>
    <w:multiLevelType w:val="hybridMultilevel"/>
    <w:tmpl w:val="7486A1B0"/>
    <w:lvl w:ilvl="0" w:tplc="42ECA88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DFD5FC5"/>
    <w:multiLevelType w:val="hybridMultilevel"/>
    <w:tmpl w:val="9FE6D674"/>
    <w:lvl w:ilvl="0" w:tplc="B238AB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CE22E0"/>
    <w:multiLevelType w:val="hybridMultilevel"/>
    <w:tmpl w:val="52A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5013B"/>
    <w:multiLevelType w:val="hybridMultilevel"/>
    <w:tmpl w:val="C3E83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11958"/>
    <w:multiLevelType w:val="hybridMultilevel"/>
    <w:tmpl w:val="F7481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B3480C"/>
    <w:multiLevelType w:val="hybridMultilevel"/>
    <w:tmpl w:val="8CD42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EE764E"/>
    <w:multiLevelType w:val="hybridMultilevel"/>
    <w:tmpl w:val="6AAA76D2"/>
    <w:lvl w:ilvl="0" w:tplc="267CB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E05D20"/>
    <w:multiLevelType w:val="hybridMultilevel"/>
    <w:tmpl w:val="4F806FD0"/>
    <w:lvl w:ilvl="0" w:tplc="F7AAFC08">
      <w:start w:val="1"/>
      <w:numFmt w:val="decimal"/>
      <w:pStyle w:val="NumberList"/>
      <w:lvlText w:val="(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3"/>
  </w:num>
  <w:num w:numId="5">
    <w:abstractNumId w:val="15"/>
  </w:num>
  <w:num w:numId="6">
    <w:abstractNumId w:val="20"/>
  </w:num>
  <w:num w:numId="7">
    <w:abstractNumId w:val="10"/>
  </w:num>
  <w:num w:numId="8">
    <w:abstractNumId w:val="25"/>
  </w:num>
  <w:num w:numId="9">
    <w:abstractNumId w:val="16"/>
  </w:num>
  <w:num w:numId="10">
    <w:abstractNumId w:val="14"/>
  </w:num>
  <w:num w:numId="11">
    <w:abstractNumId w:val="19"/>
  </w:num>
  <w:num w:numId="12">
    <w:abstractNumId w:val="18"/>
  </w:num>
  <w:num w:numId="13">
    <w:abstractNumId w:val="11"/>
  </w:num>
  <w:num w:numId="14">
    <w:abstractNumId w:val="21"/>
  </w:num>
  <w:num w:numId="15">
    <w:abstractNumId w:val="13"/>
  </w:num>
  <w:num w:numId="16">
    <w:abstractNumId w:val="12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  <w:lvlOverride w:ilvl="0">
      <w:startOverride w:val="1"/>
    </w:lvlOverride>
  </w:num>
  <w:num w:numId="29">
    <w:abstractNumId w:val="2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804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E4C"/>
    <w:rsid w:val="00002AF0"/>
    <w:rsid w:val="000507E9"/>
    <w:rsid w:val="00053880"/>
    <w:rsid w:val="000554C1"/>
    <w:rsid w:val="00065986"/>
    <w:rsid w:val="00072BC4"/>
    <w:rsid w:val="000A57E2"/>
    <w:rsid w:val="000C250D"/>
    <w:rsid w:val="000D4F1E"/>
    <w:rsid w:val="000D633E"/>
    <w:rsid w:val="000E4982"/>
    <w:rsid w:val="000F739D"/>
    <w:rsid w:val="001030AE"/>
    <w:rsid w:val="001059BD"/>
    <w:rsid w:val="001122E3"/>
    <w:rsid w:val="00154DC8"/>
    <w:rsid w:val="001661F4"/>
    <w:rsid w:val="001B12FD"/>
    <w:rsid w:val="001B71FF"/>
    <w:rsid w:val="001C201D"/>
    <w:rsid w:val="001D3E64"/>
    <w:rsid w:val="00220B07"/>
    <w:rsid w:val="00225074"/>
    <w:rsid w:val="00233E24"/>
    <w:rsid w:val="00237241"/>
    <w:rsid w:val="002609CC"/>
    <w:rsid w:val="002741C8"/>
    <w:rsid w:val="002916B6"/>
    <w:rsid w:val="002A4542"/>
    <w:rsid w:val="002B18F6"/>
    <w:rsid w:val="002B5B51"/>
    <w:rsid w:val="002C089B"/>
    <w:rsid w:val="002F3B86"/>
    <w:rsid w:val="00302CFD"/>
    <w:rsid w:val="00320E4C"/>
    <w:rsid w:val="00342BF1"/>
    <w:rsid w:val="0034497E"/>
    <w:rsid w:val="0036353F"/>
    <w:rsid w:val="00376B72"/>
    <w:rsid w:val="00385AF1"/>
    <w:rsid w:val="003A3B66"/>
    <w:rsid w:val="003A44A0"/>
    <w:rsid w:val="003C2585"/>
    <w:rsid w:val="003E6458"/>
    <w:rsid w:val="003E7FED"/>
    <w:rsid w:val="003F53FF"/>
    <w:rsid w:val="00415146"/>
    <w:rsid w:val="004252B7"/>
    <w:rsid w:val="004304BE"/>
    <w:rsid w:val="0045678E"/>
    <w:rsid w:val="00470108"/>
    <w:rsid w:val="0049740B"/>
    <w:rsid w:val="004E3258"/>
    <w:rsid w:val="004E403E"/>
    <w:rsid w:val="004F5F89"/>
    <w:rsid w:val="00523442"/>
    <w:rsid w:val="005366D3"/>
    <w:rsid w:val="005377BB"/>
    <w:rsid w:val="0054677F"/>
    <w:rsid w:val="00567460"/>
    <w:rsid w:val="0059415A"/>
    <w:rsid w:val="005B7FA7"/>
    <w:rsid w:val="005D0D10"/>
    <w:rsid w:val="005D211C"/>
    <w:rsid w:val="005E312D"/>
    <w:rsid w:val="005F4DA2"/>
    <w:rsid w:val="0062316C"/>
    <w:rsid w:val="00652351"/>
    <w:rsid w:val="006544A4"/>
    <w:rsid w:val="00654FF0"/>
    <w:rsid w:val="00664F28"/>
    <w:rsid w:val="00677D45"/>
    <w:rsid w:val="006A1444"/>
    <w:rsid w:val="006A6EC7"/>
    <w:rsid w:val="006B506C"/>
    <w:rsid w:val="006F7D28"/>
    <w:rsid w:val="00710B92"/>
    <w:rsid w:val="0072300D"/>
    <w:rsid w:val="00761586"/>
    <w:rsid w:val="00762586"/>
    <w:rsid w:val="007672E7"/>
    <w:rsid w:val="00775EA9"/>
    <w:rsid w:val="00793C4D"/>
    <w:rsid w:val="007957DC"/>
    <w:rsid w:val="007B644E"/>
    <w:rsid w:val="007F6126"/>
    <w:rsid w:val="008049AB"/>
    <w:rsid w:val="00806F37"/>
    <w:rsid w:val="00816D0E"/>
    <w:rsid w:val="0082128E"/>
    <w:rsid w:val="008302EF"/>
    <w:rsid w:val="008539E9"/>
    <w:rsid w:val="00857EB3"/>
    <w:rsid w:val="0086056A"/>
    <w:rsid w:val="0086595A"/>
    <w:rsid w:val="0087176C"/>
    <w:rsid w:val="00886378"/>
    <w:rsid w:val="008931D8"/>
    <w:rsid w:val="008A0712"/>
    <w:rsid w:val="008A6B5F"/>
    <w:rsid w:val="008D6084"/>
    <w:rsid w:val="008E16E5"/>
    <w:rsid w:val="008E3DDE"/>
    <w:rsid w:val="00904C98"/>
    <w:rsid w:val="00957001"/>
    <w:rsid w:val="009716F4"/>
    <w:rsid w:val="00983D6E"/>
    <w:rsid w:val="009B4586"/>
    <w:rsid w:val="009B5BDF"/>
    <w:rsid w:val="009B6CD4"/>
    <w:rsid w:val="009B6CDC"/>
    <w:rsid w:val="009E74AC"/>
    <w:rsid w:val="009E7B76"/>
    <w:rsid w:val="009F5026"/>
    <w:rsid w:val="009F6442"/>
    <w:rsid w:val="00A109F8"/>
    <w:rsid w:val="00A110A8"/>
    <w:rsid w:val="00A329D9"/>
    <w:rsid w:val="00A336E2"/>
    <w:rsid w:val="00A353D6"/>
    <w:rsid w:val="00A773EE"/>
    <w:rsid w:val="00AA6A2A"/>
    <w:rsid w:val="00AC4F9C"/>
    <w:rsid w:val="00AC5825"/>
    <w:rsid w:val="00AD4E52"/>
    <w:rsid w:val="00B33DBF"/>
    <w:rsid w:val="00B347B8"/>
    <w:rsid w:val="00B441A3"/>
    <w:rsid w:val="00B61373"/>
    <w:rsid w:val="00B75F2C"/>
    <w:rsid w:val="00B76D7B"/>
    <w:rsid w:val="00B90E5F"/>
    <w:rsid w:val="00BB40F3"/>
    <w:rsid w:val="00BE6394"/>
    <w:rsid w:val="00C1477E"/>
    <w:rsid w:val="00C27B5F"/>
    <w:rsid w:val="00C363E6"/>
    <w:rsid w:val="00C41BA7"/>
    <w:rsid w:val="00C519A1"/>
    <w:rsid w:val="00C54E8C"/>
    <w:rsid w:val="00C70439"/>
    <w:rsid w:val="00C92CFF"/>
    <w:rsid w:val="00C9385E"/>
    <w:rsid w:val="00CA39B9"/>
    <w:rsid w:val="00CE6D91"/>
    <w:rsid w:val="00D0040A"/>
    <w:rsid w:val="00D14844"/>
    <w:rsid w:val="00D179FC"/>
    <w:rsid w:val="00D17D9A"/>
    <w:rsid w:val="00D30BD4"/>
    <w:rsid w:val="00D42260"/>
    <w:rsid w:val="00D42806"/>
    <w:rsid w:val="00D561FC"/>
    <w:rsid w:val="00D64089"/>
    <w:rsid w:val="00DB039D"/>
    <w:rsid w:val="00DB62AD"/>
    <w:rsid w:val="00DD1286"/>
    <w:rsid w:val="00DD6E68"/>
    <w:rsid w:val="00DE0A4F"/>
    <w:rsid w:val="00E63170"/>
    <w:rsid w:val="00E71302"/>
    <w:rsid w:val="00E81527"/>
    <w:rsid w:val="00EA0406"/>
    <w:rsid w:val="00EA7302"/>
    <w:rsid w:val="00EC027D"/>
    <w:rsid w:val="00ED3B35"/>
    <w:rsid w:val="00F21914"/>
    <w:rsid w:val="00F23034"/>
    <w:rsid w:val="00F32884"/>
    <w:rsid w:val="00F35EA3"/>
    <w:rsid w:val="00F57B7F"/>
    <w:rsid w:val="00F740B8"/>
    <w:rsid w:val="00F77659"/>
    <w:rsid w:val="00FA0021"/>
    <w:rsid w:val="00FA4F74"/>
    <w:rsid w:val="00FA669A"/>
    <w:rsid w:val="00FB539B"/>
    <w:rsid w:val="00FC0B03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2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0B92"/>
    <w:pPr>
      <w:keepNext/>
      <w:keepLines/>
      <w:spacing w:before="480" w:after="24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next w:val="Normal"/>
    <w:qFormat/>
    <w:rsid w:val="00237241"/>
    <w:pPr>
      <w:spacing w:before="240" w:after="120"/>
      <w:outlineLvl w:val="1"/>
    </w:pPr>
    <w:rPr>
      <w:b/>
      <w:bCs/>
      <w:i/>
      <w:iCs/>
      <w:sz w:val="26"/>
      <w:szCs w:val="28"/>
    </w:rPr>
  </w:style>
  <w:style w:type="paragraph" w:styleId="Heading3">
    <w:name w:val="heading 3"/>
    <w:basedOn w:val="Heading4"/>
    <w:next w:val="Normal"/>
    <w:link w:val="Heading3Char"/>
    <w:unhideWhenUsed/>
    <w:qFormat/>
    <w:rsid w:val="00237241"/>
    <w:pPr>
      <w:spacing w:before="240" w:after="120"/>
      <w:outlineLvl w:val="2"/>
    </w:pPr>
    <w:rPr>
      <w:b/>
      <w:i w:val="0"/>
    </w:rPr>
  </w:style>
  <w:style w:type="paragraph" w:styleId="Heading4">
    <w:name w:val="heading 4"/>
    <w:basedOn w:val="Normal"/>
    <w:next w:val="Normal"/>
    <w:link w:val="Heading4Char"/>
    <w:unhideWhenUsed/>
    <w:qFormat/>
    <w:rsid w:val="002916B6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E71302"/>
    <w:pPr>
      <w:spacing w:after="120"/>
    </w:pPr>
    <w:rPr>
      <w:sz w:val="24"/>
      <w:szCs w:val="24"/>
    </w:rPr>
  </w:style>
  <w:style w:type="character" w:styleId="Hyperlink">
    <w:name w:val="Hyperlink"/>
    <w:basedOn w:val="DefaultParagraphFont"/>
    <w:rsid w:val="00AC5825"/>
    <w:rPr>
      <w:rFonts w:ascii="Times New Roman" w:hAnsi="Times New Roman"/>
      <w:color w:val="0000FF"/>
      <w:sz w:val="24"/>
      <w:u w:val="single"/>
    </w:rPr>
  </w:style>
  <w:style w:type="paragraph" w:customStyle="1" w:styleId="b">
    <w:name w:val="b"/>
    <w:basedOn w:val="Normal"/>
    <w:rsid w:val="002B5B51"/>
    <w:pPr>
      <w:numPr>
        <w:numId w:val="1"/>
      </w:numPr>
      <w:spacing w:after="240"/>
    </w:pPr>
    <w:rPr>
      <w:snapToGrid w:val="0"/>
      <w:sz w:val="23"/>
      <w:szCs w:val="20"/>
    </w:rPr>
  </w:style>
  <w:style w:type="paragraph" w:customStyle="1" w:styleId="b2">
    <w:name w:val="b2"/>
    <w:basedOn w:val="b"/>
    <w:rsid w:val="002B5B51"/>
  </w:style>
  <w:style w:type="table" w:styleId="TableGrid">
    <w:name w:val="Table Grid"/>
    <w:basedOn w:val="TableNormal"/>
    <w:rsid w:val="004F5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4F5F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F5F89"/>
    <w:rPr>
      <w:sz w:val="20"/>
      <w:szCs w:val="20"/>
    </w:rPr>
  </w:style>
  <w:style w:type="paragraph" w:styleId="BalloonText">
    <w:name w:val="Balloon Text"/>
    <w:basedOn w:val="Normal"/>
    <w:semiHidden/>
    <w:rsid w:val="004F5F89"/>
    <w:rPr>
      <w:rFonts w:ascii="Tahoma" w:hAnsi="Tahoma" w:cs="Tahoma"/>
      <w:sz w:val="16"/>
      <w:szCs w:val="16"/>
    </w:rPr>
  </w:style>
  <w:style w:type="paragraph" w:customStyle="1" w:styleId="Text">
    <w:name w:val="Text"/>
    <w:basedOn w:val="BodyTextIndent"/>
    <w:rsid w:val="00FF1840"/>
    <w:pPr>
      <w:spacing w:after="240"/>
      <w:ind w:left="0" w:firstLine="720"/>
    </w:pPr>
    <w:rPr>
      <w:snapToGrid w:val="0"/>
      <w:sz w:val="23"/>
      <w:szCs w:val="20"/>
    </w:rPr>
  </w:style>
  <w:style w:type="paragraph" w:styleId="BodyTextIndent">
    <w:name w:val="Body Text Indent"/>
    <w:basedOn w:val="Normal"/>
    <w:link w:val="BodyTextIndentChar"/>
    <w:rsid w:val="00FF1840"/>
    <w:pPr>
      <w:spacing w:after="120"/>
      <w:ind w:left="360"/>
    </w:pPr>
  </w:style>
  <w:style w:type="paragraph" w:styleId="HTMLPreformatted">
    <w:name w:val="HTML Preformatted"/>
    <w:basedOn w:val="Normal"/>
    <w:rsid w:val="00FF1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53FF"/>
    <w:rPr>
      <w:b/>
      <w:bCs/>
    </w:rPr>
  </w:style>
  <w:style w:type="paragraph" w:styleId="Header">
    <w:name w:val="header"/>
    <w:basedOn w:val="Normal"/>
    <w:link w:val="HeaderChar"/>
    <w:uiPriority w:val="99"/>
    <w:rsid w:val="000F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9D"/>
    <w:rPr>
      <w:sz w:val="24"/>
      <w:szCs w:val="24"/>
    </w:rPr>
  </w:style>
  <w:style w:type="paragraph" w:styleId="Footer">
    <w:name w:val="footer"/>
    <w:basedOn w:val="Normal"/>
    <w:link w:val="FooterChar"/>
    <w:rsid w:val="000F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739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F739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39D"/>
    <w:rPr>
      <w:rFonts w:ascii="Calibri" w:hAnsi="Calibri"/>
      <w:sz w:val="22"/>
      <w:szCs w:val="22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1B71FF"/>
  </w:style>
  <w:style w:type="character" w:styleId="FollowedHyperlink">
    <w:name w:val="FollowedHyperlink"/>
    <w:basedOn w:val="DefaultParagraphFont"/>
    <w:rsid w:val="00B76D7B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4E3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E3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10B92"/>
    <w:rPr>
      <w:rFonts w:eastAsiaTheme="majorEastAsi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37241"/>
    <w:rPr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75F2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1302"/>
    <w:rPr>
      <w:sz w:val="24"/>
      <w:szCs w:val="24"/>
    </w:rPr>
  </w:style>
  <w:style w:type="paragraph" w:styleId="ListNumber">
    <w:name w:val="List Number"/>
    <w:basedOn w:val="Normal"/>
    <w:rsid w:val="00B75F2C"/>
    <w:pPr>
      <w:ind w:left="720" w:hanging="360"/>
    </w:pPr>
  </w:style>
  <w:style w:type="paragraph" w:styleId="ListNumber2">
    <w:name w:val="List Number 2"/>
    <w:basedOn w:val="Normal"/>
    <w:rsid w:val="00710B92"/>
    <w:pPr>
      <w:numPr>
        <w:numId w:val="12"/>
      </w:numPr>
    </w:pPr>
    <w:rPr>
      <w:rFonts w:ascii="Arial" w:hAnsi="Arial" w:cs="Arial"/>
      <w:sz w:val="18"/>
      <w:szCs w:val="18"/>
    </w:rPr>
  </w:style>
  <w:style w:type="paragraph" w:customStyle="1" w:styleId="ExhibitTitle">
    <w:name w:val="Exhibit Title"/>
    <w:qFormat/>
    <w:rsid w:val="004252B7"/>
    <w:pPr>
      <w:keepNext/>
      <w:spacing w:before="240" w:after="120"/>
      <w:jc w:val="center"/>
    </w:pPr>
    <w:rPr>
      <w:rFonts w:ascii="Arial" w:hAnsi="Arial"/>
      <w:b/>
      <w:sz w:val="22"/>
      <w:szCs w:val="22"/>
    </w:rPr>
  </w:style>
  <w:style w:type="paragraph" w:styleId="BodyText2">
    <w:name w:val="Body Text 2"/>
    <w:basedOn w:val="Normal"/>
    <w:link w:val="BodyText2Char"/>
    <w:rsid w:val="00710B92"/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710B92"/>
    <w:rPr>
      <w:rFonts w:ascii="Arial" w:hAnsi="Arial" w:cs="Arial"/>
      <w:sz w:val="18"/>
      <w:szCs w:val="18"/>
    </w:rPr>
  </w:style>
  <w:style w:type="paragraph" w:customStyle="1" w:styleId="TableColumnHead">
    <w:name w:val="Table Column Head"/>
    <w:qFormat/>
    <w:rsid w:val="00E71302"/>
    <w:pPr>
      <w:tabs>
        <w:tab w:val="left" w:pos="1080"/>
      </w:tabs>
    </w:pPr>
    <w:rPr>
      <w:rFonts w:ascii="Arial" w:hAnsi="Arial" w:cs="Arial"/>
      <w:b/>
      <w:sz w:val="19"/>
      <w:szCs w:val="19"/>
    </w:rPr>
  </w:style>
  <w:style w:type="paragraph" w:customStyle="1" w:styleId="TableText">
    <w:name w:val="Table Text"/>
    <w:qFormat/>
    <w:rsid w:val="00E71302"/>
    <w:rPr>
      <w:rFonts w:ascii="Arial" w:hAnsi="Arial" w:cs="Arial"/>
      <w:snapToGrid w:val="0"/>
      <w:sz w:val="19"/>
      <w:szCs w:val="19"/>
    </w:rPr>
  </w:style>
  <w:style w:type="character" w:customStyle="1" w:styleId="Heading4Char">
    <w:name w:val="Heading 4 Char"/>
    <w:basedOn w:val="DefaultParagraphFont"/>
    <w:link w:val="Heading4"/>
    <w:rsid w:val="002916B6"/>
    <w:rPr>
      <w:i/>
      <w:sz w:val="24"/>
      <w:szCs w:val="24"/>
    </w:rPr>
  </w:style>
  <w:style w:type="paragraph" w:styleId="ListBullet2">
    <w:name w:val="List Bullet 2"/>
    <w:basedOn w:val="ListNumber2"/>
    <w:rsid w:val="00710B92"/>
  </w:style>
  <w:style w:type="paragraph" w:styleId="ListBullet">
    <w:name w:val="List Bullet"/>
    <w:basedOn w:val="b2"/>
    <w:rsid w:val="00710B92"/>
    <w:pPr>
      <w:numPr>
        <w:numId w:val="13"/>
      </w:numPr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2916B6"/>
    <w:pPr>
      <w:spacing w:after="240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2916B6"/>
  </w:style>
  <w:style w:type="paragraph" w:customStyle="1" w:styleId="NumberList">
    <w:name w:val="Number List"/>
    <w:qFormat/>
    <w:rsid w:val="00237241"/>
    <w:pPr>
      <w:numPr>
        <w:numId w:val="28"/>
      </w:numPr>
      <w:spacing w:after="120"/>
    </w:pPr>
    <w:rPr>
      <w:sz w:val="24"/>
      <w:szCs w:val="24"/>
    </w:rPr>
  </w:style>
  <w:style w:type="paragraph" w:customStyle="1" w:styleId="BulletList">
    <w:name w:val="Bullet List"/>
    <w:basedOn w:val="ListBullet"/>
    <w:qFormat/>
    <w:rsid w:val="00237241"/>
  </w:style>
  <w:style w:type="paragraph" w:customStyle="1" w:styleId="ExhibitText">
    <w:name w:val="Exhibit Text"/>
    <w:qFormat/>
    <w:rsid w:val="00E71302"/>
    <w:pPr>
      <w:spacing w:after="60"/>
    </w:pPr>
    <w:rPr>
      <w:rFonts w:ascii="Arial" w:hAnsi="Arial" w:cs="Arial"/>
    </w:rPr>
  </w:style>
  <w:style w:type="paragraph" w:customStyle="1" w:styleId="ExhibitBullet">
    <w:name w:val="Exhibit Bullet"/>
    <w:basedOn w:val="ListBullet2"/>
    <w:qFormat/>
    <w:rsid w:val="00E71302"/>
    <w:pPr>
      <w:spacing w:after="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rsweb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r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ocket.access.gpo.gov/2007/pdf/E7-2061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hitehouse.gov/omb/fedreg_1997stand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ces.ed.gov/pubsearch/pubsinfo.asp?pubid=2008802" TargetMode="External"/><Relationship Id="rId14" Type="http://schemas.openxmlformats.org/officeDocument/2006/relationships/hyperlink" Target="mailto:nrs@a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1504-CFA2-43E9-A193-EE956D2D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1989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NRS_Reporting_Standards.docx</vt:lpstr>
    </vt:vector>
  </TitlesOfParts>
  <Company>U.S. Department of Education</Company>
  <LinksUpToDate>false</LinksUpToDate>
  <CharactersWithSpaces>13067</CharactersWithSpaces>
  <SharedDoc>false</SharedDoc>
  <HLinks>
    <vt:vector size="54" baseType="variant">
      <vt:variant>
        <vt:i4>6553677</vt:i4>
      </vt:variant>
      <vt:variant>
        <vt:i4>24</vt:i4>
      </vt:variant>
      <vt:variant>
        <vt:i4>0</vt:i4>
      </vt:variant>
      <vt:variant>
        <vt:i4>5</vt:i4>
      </vt:variant>
      <vt:variant>
        <vt:lpwstr>mailto:nrs@air.org</vt:lpwstr>
      </vt:variant>
      <vt:variant>
        <vt:lpwstr/>
      </vt:variant>
      <vt:variant>
        <vt:i4>2097215</vt:i4>
      </vt:variant>
      <vt:variant>
        <vt:i4>21</vt:i4>
      </vt:variant>
      <vt:variant>
        <vt:i4>0</vt:i4>
      </vt:variant>
      <vt:variant>
        <vt:i4>5</vt:i4>
      </vt:variant>
      <vt:variant>
        <vt:lpwstr>http://www.nrsweb.org/</vt:lpwstr>
      </vt:variant>
      <vt:variant>
        <vt:lpwstr/>
      </vt:variant>
      <vt:variant>
        <vt:i4>3145829</vt:i4>
      </vt:variant>
      <vt:variant>
        <vt:i4>18</vt:i4>
      </vt:variant>
      <vt:variant>
        <vt:i4>0</vt:i4>
      </vt:variant>
      <vt:variant>
        <vt:i4>5</vt:i4>
      </vt:variant>
      <vt:variant>
        <vt:lpwstr>http://www.air.org/</vt:lpwstr>
      </vt:variant>
      <vt:variant>
        <vt:lpwstr/>
      </vt:variant>
      <vt:variant>
        <vt:i4>7143487</vt:i4>
      </vt:variant>
      <vt:variant>
        <vt:i4>15</vt:i4>
      </vt:variant>
      <vt:variant>
        <vt:i4>0</vt:i4>
      </vt:variant>
      <vt:variant>
        <vt:i4>5</vt:i4>
      </vt:variant>
      <vt:variant>
        <vt:lpwstr>http://edocket.access.gpo.gov/2007/pdf/E7-20613.pdf</vt:lpwstr>
      </vt:variant>
      <vt:variant>
        <vt:lpwstr/>
      </vt:variant>
      <vt:variant>
        <vt:i4>196611</vt:i4>
      </vt:variant>
      <vt:variant>
        <vt:i4>12</vt:i4>
      </vt:variant>
      <vt:variant>
        <vt:i4>0</vt:i4>
      </vt:variant>
      <vt:variant>
        <vt:i4>5</vt:i4>
      </vt:variant>
      <vt:variant>
        <vt:lpwstr>http://frwebgate3.access.gpo.gov/cgi-bin/PDFgate.cgi?WAISdocID=61421913637+1+2+0&amp;WAISaction=retrieve</vt:lpwstr>
      </vt:variant>
      <vt:variant>
        <vt:lpwstr/>
      </vt:variant>
      <vt:variant>
        <vt:i4>7274497</vt:i4>
      </vt:variant>
      <vt:variant>
        <vt:i4>9</vt:i4>
      </vt:variant>
      <vt:variant>
        <vt:i4>0</vt:i4>
      </vt:variant>
      <vt:variant>
        <vt:i4>5</vt:i4>
      </vt:variant>
      <vt:variant>
        <vt:lpwstr>http://www.whitehouse.gov/omb/fedreg_1997standards</vt:lpwstr>
      </vt:variant>
      <vt:variant>
        <vt:lpwstr/>
      </vt:variant>
      <vt:variant>
        <vt:i4>1704009</vt:i4>
      </vt:variant>
      <vt:variant>
        <vt:i4>6</vt:i4>
      </vt:variant>
      <vt:variant>
        <vt:i4>0</vt:i4>
      </vt:variant>
      <vt:variant>
        <vt:i4>5</vt:i4>
      </vt:variant>
      <vt:variant>
        <vt:lpwstr>http://frwebgate6.access.gpo.gov/cgi-bin/PDFgate.cgi?WAISdocID=613140361960+1+2+0&amp;WAISaction=retrieve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http://nces.ed.gov/pubsearch/pubsinfo.asp?pubid=2008802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http://nces.ed.gov/pubsearch/pubsinfo.asp?pubid=2008802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Standards for Collecting and Reporting Race and Ethnicity Data for the NRS</dc:title>
  <dc:subject>New Standards for Collecting and Reporting Race and Ethnicity Data for the NRS</dc:subject>
  <dc:creator>U.S. Department of Education</dc:creator>
  <cp:keywords>race, ethnicity, OMB, reporting, data, Asian, Native, Black, African American, Hispanic, Latino</cp:keywords>
  <dc:description>Language is U.S. English.</dc:description>
  <cp:lastModifiedBy>Marcela Movit</cp:lastModifiedBy>
  <cp:revision>2</cp:revision>
  <cp:lastPrinted>2009-01-28T21:06:00Z</cp:lastPrinted>
  <dcterms:created xsi:type="dcterms:W3CDTF">2012-01-17T17:26:00Z</dcterms:created>
  <dcterms:modified xsi:type="dcterms:W3CDTF">2012-01-17T17:26:00Z</dcterms:modified>
</cp:coreProperties>
</file>